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334155"/>
          <w:sz w:val="17"/>
        </w:rPr>
        <w:t>GOVERNMENT OF INDIA | ALL INDIA COUNCIL FOR TECHNICAL EDUCATION (AICTE)</w:t>
        <w:br/>
        <w:t>SMART INDIA HACKATHON SUBMISSION DOCUMENT</w:t>
      </w:r>
    </w:p>
    <w:p>
      <w:pPr>
        <w:spacing w:before="80" w:after="80"/>
      </w:pPr>
      <w:r>
        <w:rPr>
          <w:rFonts w:ascii="Arial" w:hAnsi="Arial"/>
          <w:b/>
          <w:color w:val="142B4A"/>
          <w:sz w:val="36"/>
        </w:rPr>
        <w:t>AICTE Fixed Deposit Receipt (FDR) Management &amp; Automated Scrutiny Portal</w:t>
      </w:r>
    </w:p>
    <w:p>
      <w:pPr>
        <w:spacing w:before="0" w:after="240"/>
      </w:pPr>
      <w:r>
        <w:rPr>
          <w:rFonts w:ascii="Arial" w:hAnsi="Arial"/>
          <w:color w:val="334155"/>
          <w:sz w:val="21"/>
        </w:rPr>
        <w:t>A Comprehensive Regulatory Technology (RegTech) Platform for Security Deposit Oversight, AI-Powered Document Verification, and Statutory Workload Governance</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50" w:type="dxa"/>
              <w:right w:w="150" w:type="dxa"/>
            </w:tcMar>
          </w:tcPr>
          <w:p>
            <w:pPr>
              <w:spacing w:before="0" w:after="0"/>
            </w:pPr>
            <w:r>
              <w:rPr>
                <w:rFonts w:ascii="Arial" w:hAnsi="Arial"/>
                <w:b/>
                <w:color w:val="1E3A63"/>
                <w:sz w:val="17"/>
              </w:rPr>
              <w:t xml:space="preserve">Document Category: </w:t>
            </w:r>
            <w:r>
              <w:rPr>
                <w:rFonts w:ascii="Arial" w:hAnsi="Arial"/>
                <w:color w:val="1E293B"/>
                <w:sz w:val="17"/>
              </w:rPr>
              <w:t>Comprehensive Technical &amp; Administrative Project Description   |   Regulatory Domain: Technical Education &amp; Financial Security Management   |   Platform: AICTE FDR Portal</w:t>
              <w:br/>
            </w:r>
            <w:r>
              <w:rPr>
                <w:rFonts w:ascii="Arial" w:hAnsi="Arial"/>
                <w:b/>
                <w:color w:val="1E3A63"/>
                <w:sz w:val="17"/>
              </w:rPr>
              <w:t xml:space="preserve">Statutory Mandate: </w:t>
            </w:r>
            <w:r>
              <w:rPr>
                <w:rFonts w:ascii="Arial" w:hAnsi="Arial"/>
                <w:color w:val="1E293B"/>
                <w:sz w:val="17"/>
              </w:rPr>
              <w:t>AICTE Approval Process Handbook (APH) — Joint Security Deposit (FDR) Custody &amp; Scrutiny Administration</w:t>
            </w:r>
          </w:p>
        </w:tc>
      </w:tr>
    </w:tbl>
    <w:p>
      <w:pPr>
        <w:spacing w:after="120"/>
      </w:pPr>
    </w:p>
    <w:p>
      <w:pPr>
        <w:keepNext/>
        <w:spacing w:before="280" w:after="80"/>
      </w:pPr>
      <w:r>
        <w:rPr>
          <w:rFonts w:ascii="Arial" w:hAnsi="Arial"/>
          <w:b/>
          <w:color w:val="142B4A"/>
          <w:sz w:val="26"/>
        </w:rPr>
        <w:t>1. Problem Statement and Regulatory Background</w:t>
      </w:r>
    </w:p>
    <w:p>
      <w:pPr>
        <w:spacing w:before="0" w:after="100" w:line="276" w:lineRule="auto"/>
      </w:pPr>
      <w:r>
        <w:rPr>
          <w:rFonts w:ascii="Arial" w:hAnsi="Arial"/>
          <w:color w:val="1E293B"/>
          <w:sz w:val="20"/>
        </w:rPr>
        <w:t>Under the statutory regulations established by the All India Council for Technical Education (AICTE), an autonomous statutory body under the Department of Higher Education, Ministry of Education, Government of India, technical educational institutions seeking establishment, annual extension of approval (EoA), introduction of new academic programs, or increase in approved intake are legally mandated to furnish financial security deposits. These security deposits are maintained in the form of Fixed Deposit Receipts (FDRs) pledged jointly in the names of the applicant institution and the 'Member Secretary, AICTE New Delhi' across Scheduled Commercial Banks for designated statutory tenures typically spanning eight to ten years.</w:t>
      </w:r>
    </w:p>
    <w:p>
      <w:pPr>
        <w:spacing w:before="0" w:after="100" w:line="276" w:lineRule="auto"/>
      </w:pPr>
      <w:r>
        <w:rPr>
          <w:rFonts w:ascii="Arial" w:hAnsi="Arial"/>
          <w:color w:val="1E293B"/>
          <w:sz w:val="20"/>
        </w:rPr>
        <w:t>The primary regulatory intent of this tripartite security deposit mechanism is to establish a robust financial guarantee that safeguards student tuition fees, guarantees the operational viability of educational infrastructure, prevents sudden or unannounced institutional abandonment, and enforces compliance with statutory norms outlined in the AICTE Approval Process Handbook (APH). With more than 10,000 AICTE-approved engineering colleges, polytechnics, management institutions, and pharmacy colleges operating across the country, the total monetary value of security deposits held under AICTE lien exceeds thousands of crores of rupees spread across hundreds of public and private bank branches nationwide.</w:t>
      </w:r>
    </w:p>
    <w:p>
      <w:pPr>
        <w:spacing w:before="0" w:after="100" w:line="276" w:lineRule="auto"/>
      </w:pPr>
      <w:r>
        <w:rPr>
          <w:rFonts w:ascii="Arial" w:hAnsi="Arial"/>
          <w:color w:val="1E293B"/>
          <w:sz w:val="20"/>
        </w:rPr>
        <w:t>Despite the immense financial scale and high regulatory stakes of these deposits, the management, monitoring, and verification of joint FDRs historically relied on decentralized, manual, and paper-intensive administrative procedures. Physical Fixed Deposit Receipts, tripartite lien endorsement agreements, bank confirmation letters, and statutory petitions were physically submitted by institutions to AICTE Regional Offices or Headquarter Scrutiny Desks, creating an acute regulatory governance challenge that demanded a modern, automated technological intervention.</w:t>
      </w:r>
    </w:p>
    <w:p>
      <w:pPr>
        <w:keepNext/>
        <w:spacing w:before="280" w:after="80"/>
      </w:pPr>
      <w:r>
        <w:rPr>
          <w:rFonts w:ascii="Arial" w:hAnsi="Arial"/>
          <w:b/>
          <w:color w:val="142B4A"/>
          <w:sz w:val="26"/>
        </w:rPr>
        <w:t>2. Critical Challenges in the Existing Manual AICTE FDR Regime</w:t>
      </w:r>
    </w:p>
    <w:p>
      <w:pPr>
        <w:spacing w:before="0" w:after="100" w:line="276" w:lineRule="auto"/>
      </w:pPr>
      <w:r>
        <w:rPr>
          <w:rFonts w:ascii="Arial" w:hAnsi="Arial"/>
          <w:color w:val="1E293B"/>
          <w:sz w:val="20"/>
        </w:rPr>
        <w:t>A rigorous empirical analysis of the existing operational framework revealed severe systemic vulnerabilities, administrative inefficiencies, and operational risks:</w:t>
      </w:r>
    </w:p>
    <w:p>
      <w:pPr>
        <w:pStyle w:val="ListBullet"/>
        <w:spacing w:before="0" w:after="60" w:line="276" w:lineRule="auto"/>
      </w:pPr>
      <w:r>
        <w:rPr>
          <w:rFonts w:ascii="Arial" w:hAnsi="Arial"/>
          <w:b/>
          <w:color w:val="1E293B"/>
          <w:sz w:val="20"/>
        </w:rPr>
        <w:t xml:space="preserve">1. </w:t>
      </w:r>
      <w:r>
        <w:rPr>
          <w:rFonts w:ascii="Arial" w:hAnsi="Arial"/>
          <w:color w:val="1E293B"/>
          <w:sz w:val="20"/>
        </w:rPr>
        <w:t>Physical Custody and Document Vulnerability: Managing tens of thousands of paper FDR receipts and physical bank endorsements across multiple zonal offices introduces substantial operational risks, including physical degradation, misplacement of original receipts, and tracking errors across prolonged statutory tenures.</w:t>
      </w:r>
    </w:p>
    <w:p>
      <w:pPr>
        <w:pStyle w:val="ListBullet"/>
        <w:spacing w:before="0" w:after="60" w:line="276" w:lineRule="auto"/>
      </w:pPr>
      <w:r>
        <w:rPr>
          <w:rFonts w:ascii="Arial" w:hAnsi="Arial"/>
          <w:b/>
          <w:color w:val="1E293B"/>
          <w:sz w:val="20"/>
        </w:rPr>
        <w:t xml:space="preserve">2. </w:t>
      </w:r>
      <w:r>
        <w:rPr>
          <w:rFonts w:ascii="Arial" w:hAnsi="Arial"/>
          <w:color w:val="1E293B"/>
          <w:sz w:val="20"/>
        </w:rPr>
        <w:t>Vulnerability to Lien Leakage and Premature Liquidation: In the absence of an integrated digital registry or automated verification channel with commercial banks, regulatory authorities have encountered instances where institutions attempted unauthorized premature encashment, liquidation, or credit borrowing against pledged deposits without obtaining formal AICTE concurrence.</w:t>
      </w:r>
    </w:p>
    <w:p>
      <w:pPr>
        <w:pStyle w:val="ListBullet"/>
        <w:spacing w:before="0" w:after="60" w:line="276" w:lineRule="auto"/>
      </w:pPr>
      <w:r>
        <w:rPr>
          <w:rFonts w:ascii="Arial" w:hAnsi="Arial"/>
          <w:b/>
          <w:color w:val="1E293B"/>
          <w:sz w:val="20"/>
        </w:rPr>
        <w:t xml:space="preserve">3. </w:t>
      </w:r>
      <w:r>
        <w:rPr>
          <w:rFonts w:ascii="Arial" w:hAnsi="Arial"/>
          <w:color w:val="1E293B"/>
          <w:sz w:val="20"/>
        </w:rPr>
        <w:t>Unmonitored Deposit Maturities and Revenue Loss: Fixed deposit receipts mature at varying intervals. Without an automated, proactive monitoring system, hundreds of deposits mature unnoticed, automatically renewing at unfavorable savings bank interest rates or remaining dormant, causing substantial financial loss to colleges and administrative ambiguity for the council.</w:t>
      </w:r>
    </w:p>
    <w:p>
      <w:pPr>
        <w:pStyle w:val="ListBullet"/>
        <w:spacing w:before="0" w:after="60" w:line="276" w:lineRule="auto"/>
      </w:pPr>
      <w:r>
        <w:rPr>
          <w:rFonts w:ascii="Arial" w:hAnsi="Arial"/>
          <w:b/>
          <w:color w:val="1E293B"/>
          <w:sz w:val="20"/>
        </w:rPr>
        <w:t xml:space="preserve">4. </w:t>
      </w:r>
      <w:r>
        <w:rPr>
          <w:rFonts w:ascii="Arial" w:hAnsi="Arial"/>
          <w:color w:val="1E293B"/>
          <w:sz w:val="20"/>
        </w:rPr>
        <w:t>Severe Scrutiny Desk Bottlenecks: During annual approval cycles, scrutiny officers are overwhelmed by stacks of physical deposit documents. Officers must manually verify six to eight critical financial attributes per receipt (FDR number, bank name, branch IFSC, principal amount, issue date, maturity date, and exact joint-lien wording), leading to acute processing delays.</w:t>
      </w:r>
    </w:p>
    <w:p>
      <w:pPr>
        <w:pStyle w:val="ListBullet"/>
        <w:spacing w:before="0" w:after="60" w:line="276" w:lineRule="auto"/>
      </w:pPr>
      <w:r>
        <w:rPr>
          <w:rFonts w:ascii="Arial" w:hAnsi="Arial"/>
          <w:b/>
          <w:color w:val="1E293B"/>
          <w:sz w:val="20"/>
        </w:rPr>
        <w:t xml:space="preserve">5. </w:t>
      </w:r>
      <w:r>
        <w:rPr>
          <w:rFonts w:ascii="Arial" w:hAnsi="Arial"/>
          <w:color w:val="1E293B"/>
          <w:sz w:val="20"/>
        </w:rPr>
        <w:t>Unbalanced Officer Workloads and Processing Delays: Without intelligent workload balancing, statutory petitions submitted by colleges (such as renewal approvals, lien releases upon institutional closure, or foreclosure petitions) accumulate unevenly across officer desks, leading to regulatory backlog and statutory delays.</w:t>
      </w:r>
    </w:p>
    <w:p>
      <w:pPr>
        <w:pStyle w:val="ListBullet"/>
        <w:spacing w:before="0" w:after="60" w:line="276" w:lineRule="auto"/>
      </w:pPr>
      <w:r>
        <w:rPr>
          <w:rFonts w:ascii="Arial" w:hAnsi="Arial"/>
          <w:b/>
          <w:color w:val="1E293B"/>
          <w:sz w:val="20"/>
        </w:rPr>
        <w:t xml:space="preserve">6. </w:t>
      </w:r>
      <w:r>
        <w:rPr>
          <w:rFonts w:ascii="Arial" w:hAnsi="Arial"/>
          <w:color w:val="1E293B"/>
          <w:sz w:val="20"/>
        </w:rPr>
        <w:t>Lack of Transparent Audit Trails: Manual file-movement registers fail to provide immutable accountability regarding who approved a deposit, who verified an extended maturity, what deficiency reasons were cited, and why a petition was reassigned, creating vulnerabilities during parliamentary audits and regulatory reviews.</w:t>
      </w:r>
    </w:p>
    <w:p>
      <w:pPr>
        <w:keepNext/>
        <w:spacing w:before="280" w:after="80"/>
      </w:pPr>
      <w:r>
        <w:rPr>
          <w:rFonts w:ascii="Arial" w:hAnsi="Arial"/>
          <w:b/>
          <w:color w:val="142B4A"/>
          <w:sz w:val="26"/>
        </w:rPr>
        <w:t>3. Proposed Solution — The AICTE FDR Management Portal</w:t>
      </w:r>
    </w:p>
    <w:p>
      <w:pPr>
        <w:spacing w:before="0" w:after="100" w:line="276" w:lineRule="auto"/>
      </w:pPr>
      <w:r>
        <w:rPr>
          <w:rFonts w:ascii="Arial" w:hAnsi="Arial"/>
          <w:color w:val="1E293B"/>
          <w:sz w:val="20"/>
        </w:rPr>
        <w:t>To resolve these operational bottlenecks, our project introduces the AICTE FDR Management Portal—a centralized, enterprise-grade Regulatory Technology (RegTech) platform designed specifically for the AICTE Approval Bureau, Regional Scrutiny Desks, and approved Technical Educational Institutions across India. The portal establishes an end-to-end digital lifecycle governance architecture that bridges institutions, regulatory scrutiny officers, and administrative leadership on a unified, auditable software ecosystem.</w:t>
      </w:r>
    </w:p>
    <w:p>
      <w:pPr>
        <w:spacing w:before="0" w:after="100" w:line="276" w:lineRule="auto"/>
      </w:pPr>
      <w:r>
        <w:rPr>
          <w:rFonts w:ascii="Arial" w:hAnsi="Arial"/>
          <w:color w:val="1E293B"/>
          <w:sz w:val="20"/>
        </w:rPr>
        <w:t>The proposed solution fundamentally transforms FDR governance through five foundational innovations:</w:t>
      </w:r>
    </w:p>
    <w:p>
      <w:pPr>
        <w:pStyle w:val="ListBullet"/>
        <w:spacing w:before="0" w:after="60" w:line="276" w:lineRule="auto"/>
      </w:pPr>
      <w:r>
        <w:rPr>
          <w:rFonts w:ascii="Arial" w:hAnsi="Arial"/>
          <w:b/>
          <w:color w:val="1E293B"/>
          <w:sz w:val="20"/>
        </w:rPr>
        <w:t xml:space="preserve">A. </w:t>
      </w:r>
      <w:r>
        <w:rPr>
          <w:rFonts w:ascii="Arial" w:hAnsi="Arial"/>
          <w:color w:val="1E293B"/>
          <w:sz w:val="20"/>
        </w:rPr>
        <w:t>Digital Deposit Registry with Real-Time Deduplication: Establishes a single source of truth for all institutional deposits, validating unique deposit receipt numbers across public and private banks to prevent duplicate or fraudulent deposit entries.</w:t>
      </w:r>
    </w:p>
    <w:p>
      <w:pPr>
        <w:pStyle w:val="ListBullet"/>
        <w:spacing w:before="0" w:after="60" w:line="276" w:lineRule="auto"/>
      </w:pPr>
      <w:r>
        <w:rPr>
          <w:rFonts w:ascii="Arial" w:hAnsi="Arial"/>
          <w:b/>
          <w:color w:val="1E293B"/>
          <w:sz w:val="20"/>
        </w:rPr>
        <w:t xml:space="preserve">B. </w:t>
      </w:r>
      <w:r>
        <w:rPr>
          <w:rFonts w:ascii="Arial" w:hAnsi="Arial"/>
          <w:color w:val="1E293B"/>
          <w:sz w:val="20"/>
        </w:rPr>
        <w:t>AI-Powered Document Scrutiny &amp; Joint-Lien NLP: Integrates an automated dual-layer Optical Character Recognition (OCR) and Natural Language Processing (NLP) pipeline that ingests digital and scanned FDR certificates, extracts core financial fields, cross-examines values against institutional declarations, and validates the presence of statutory tripartite joint-lien clauses.</w:t>
      </w:r>
    </w:p>
    <w:p>
      <w:pPr>
        <w:pStyle w:val="ListBullet"/>
        <w:spacing w:before="0" w:after="60" w:line="276" w:lineRule="auto"/>
      </w:pPr>
      <w:r>
        <w:rPr>
          <w:rFonts w:ascii="Arial" w:hAnsi="Arial"/>
          <w:b/>
          <w:color w:val="1E293B"/>
          <w:sz w:val="20"/>
        </w:rPr>
        <w:t xml:space="preserve">C. </w:t>
      </w:r>
      <w:r>
        <w:rPr>
          <w:rFonts w:ascii="Arial" w:hAnsi="Arial"/>
          <w:color w:val="1E293B"/>
          <w:sz w:val="20"/>
        </w:rPr>
        <w:t>Two-Phase Statutory Renewal &amp; Maturity Extension Workflow: Enforces a strict two-phase state machine where renewal petitions are first scrutinized on legal grounds, and official maturity extensions are granted in the core ledger only after the institution uploads and the officer verifies the newly issued bank receipt.</w:t>
      </w:r>
    </w:p>
    <w:p>
      <w:pPr>
        <w:pStyle w:val="ListBullet"/>
        <w:spacing w:before="0" w:after="60" w:line="276" w:lineRule="auto"/>
      </w:pPr>
      <w:r>
        <w:rPr>
          <w:rFonts w:ascii="Arial" w:hAnsi="Arial"/>
          <w:b/>
          <w:color w:val="1E293B"/>
          <w:sz w:val="20"/>
        </w:rPr>
        <w:t xml:space="preserve">D. </w:t>
      </w:r>
      <w:r>
        <w:rPr>
          <w:rFonts w:ascii="Arial" w:hAnsi="Arial"/>
          <w:color w:val="1E293B"/>
          <w:sz w:val="20"/>
        </w:rPr>
        <w:t>Smart Workload Balancing &amp; Dynamic SLA Priority Engine: Employs dynamic mathematical priority scoring based on deposit maturity proximity and petition aging, coupled with automated workload dispatch that allocates incoming cases to scrutiny officers with the lowest active caseload.</w:t>
      </w:r>
    </w:p>
    <w:p>
      <w:pPr>
        <w:pStyle w:val="ListBullet"/>
        <w:spacing w:before="0" w:after="60" w:line="276" w:lineRule="auto"/>
      </w:pPr>
      <w:r>
        <w:rPr>
          <w:rFonts w:ascii="Arial" w:hAnsi="Arial"/>
          <w:b/>
          <w:color w:val="1E293B"/>
          <w:sz w:val="20"/>
        </w:rPr>
        <w:t xml:space="preserve">E. </w:t>
      </w:r>
      <w:r>
        <w:rPr>
          <w:rFonts w:ascii="Arial" w:hAnsi="Arial"/>
          <w:color w:val="1E293B"/>
          <w:sz w:val="20"/>
        </w:rPr>
        <w:t>Automated Multi-Channel Compliance Monitoring &amp; Audit Trail: Provides scheduled background scanning, proactive 30-day maturity reminders, an interactive regulatory calendar, and an immutable cryptographic activity ledger ensuring complete transparency and audit readiness.</w:t>
      </w:r>
    </w:p>
    <w:p>
      <w:pPr>
        <w:keepNext/>
        <w:spacing w:before="280" w:after="80"/>
      </w:pPr>
      <w:r>
        <w:rPr>
          <w:rFonts w:ascii="Arial" w:hAnsi="Arial"/>
          <w:b/>
          <w:color w:val="142B4A"/>
          <w:sz w:val="26"/>
        </w:rPr>
        <w:t>4. Key Objectives of the Project</w:t>
      </w:r>
    </w:p>
    <w:p>
      <w:pPr>
        <w:spacing w:before="0" w:after="100" w:line="276" w:lineRule="auto"/>
      </w:pPr>
      <w:r>
        <w:rPr>
          <w:rFonts w:ascii="Arial" w:hAnsi="Arial"/>
          <w:color w:val="1E293B"/>
          <w:sz w:val="20"/>
        </w:rPr>
        <w:t>The design and implementation of the AICTE FDR Management Portal were guided by the following strategic objectives:</w:t>
      </w:r>
    </w:p>
    <w:p>
      <w:pPr>
        <w:pStyle w:val="ListBullet"/>
        <w:spacing w:before="0" w:after="60" w:line="276" w:lineRule="auto"/>
      </w:pPr>
      <w:r>
        <w:rPr>
          <w:rFonts w:ascii="Arial" w:hAnsi="Arial"/>
          <w:b/>
          <w:color w:val="1E293B"/>
          <w:sz w:val="20"/>
        </w:rPr>
        <w:t xml:space="preserve">1. </w:t>
      </w:r>
      <w:r>
        <w:rPr>
          <w:rFonts w:ascii="Arial" w:hAnsi="Arial"/>
          <w:color w:val="1E293B"/>
          <w:sz w:val="20"/>
        </w:rPr>
        <w:t>Eradicate Deposit Lien Leakage: Guarantee that no institutional security deposit pledged under AICTE mandate can be prematurely liquidated, transferred, or released without formal multi-level council verification.</w:t>
      </w:r>
    </w:p>
    <w:p>
      <w:pPr>
        <w:pStyle w:val="ListBullet"/>
        <w:spacing w:before="0" w:after="60" w:line="276" w:lineRule="auto"/>
      </w:pPr>
      <w:r>
        <w:rPr>
          <w:rFonts w:ascii="Arial" w:hAnsi="Arial"/>
          <w:b/>
          <w:color w:val="1E293B"/>
          <w:sz w:val="20"/>
        </w:rPr>
        <w:t xml:space="preserve">2. </w:t>
      </w:r>
      <w:r>
        <w:rPr>
          <w:rFonts w:ascii="Arial" w:hAnsi="Arial"/>
          <w:color w:val="1E293B"/>
          <w:sz w:val="20"/>
        </w:rPr>
        <w:t>Accelerate Document Verification Turnaround: Reduce the time required to scrutinize institutional deposit receipts from days to under ten seconds through automated OCR text extraction and algorithmic discrepancy flagging.</w:t>
      </w:r>
    </w:p>
    <w:p>
      <w:pPr>
        <w:pStyle w:val="ListBullet"/>
        <w:spacing w:before="0" w:after="60" w:line="276" w:lineRule="auto"/>
      </w:pPr>
      <w:r>
        <w:rPr>
          <w:rFonts w:ascii="Arial" w:hAnsi="Arial"/>
          <w:b/>
          <w:color w:val="1E293B"/>
          <w:sz w:val="20"/>
        </w:rPr>
        <w:t xml:space="preserve">3. </w:t>
      </w:r>
      <w:r>
        <w:rPr>
          <w:rFonts w:ascii="Arial" w:hAnsi="Arial"/>
          <w:color w:val="1E293B"/>
          <w:sz w:val="20"/>
        </w:rPr>
        <w:t>Automate Statutory Maturity Tracking: Eliminate lapsed deposits through automated background evaluations that alert institutions and officers thirty days prior to maturity.</w:t>
      </w:r>
    </w:p>
    <w:p>
      <w:pPr>
        <w:pStyle w:val="ListBullet"/>
        <w:spacing w:before="0" w:after="60" w:line="276" w:lineRule="auto"/>
      </w:pPr>
      <w:r>
        <w:rPr>
          <w:rFonts w:ascii="Arial" w:hAnsi="Arial"/>
          <w:b/>
          <w:color w:val="1E293B"/>
          <w:sz w:val="20"/>
        </w:rPr>
        <w:t xml:space="preserve">4. </w:t>
      </w:r>
      <w:r>
        <w:rPr>
          <w:rFonts w:ascii="Arial" w:hAnsi="Arial"/>
          <w:color w:val="1E293B"/>
          <w:sz w:val="20"/>
        </w:rPr>
        <w:t>Promote Administrative Equity and Efficiency: Balance petition caseloads objectively across active scrutiny officers, prioritizing critical cases maturing within seven days to prevent statutory defaults.</w:t>
      </w:r>
    </w:p>
    <w:p>
      <w:pPr>
        <w:pStyle w:val="ListBullet"/>
        <w:spacing w:before="0" w:after="60" w:line="276" w:lineRule="auto"/>
      </w:pPr>
      <w:r>
        <w:rPr>
          <w:rFonts w:ascii="Arial" w:hAnsi="Arial"/>
          <w:b/>
          <w:color w:val="1E293B"/>
          <w:sz w:val="20"/>
        </w:rPr>
        <w:t xml:space="preserve">5. </w:t>
      </w:r>
      <w:r>
        <w:rPr>
          <w:rFonts w:ascii="Arial" w:hAnsi="Arial"/>
          <w:color w:val="1E293B"/>
          <w:sz w:val="20"/>
        </w:rPr>
        <w:t>Ensure Complete Transparency and Non-Repudiation: Maintain an immutable chronological audit ledger recording every administrative action, status modification, and reassignment justification.</w:t>
      </w:r>
    </w:p>
    <w:p>
      <w:pPr>
        <w:keepNext/>
        <w:spacing w:before="280" w:after="80"/>
      </w:pPr>
      <w:r>
        <w:rPr>
          <w:rFonts w:ascii="Arial" w:hAnsi="Arial"/>
          <w:b/>
          <w:color w:val="142B4A"/>
          <w:sz w:val="26"/>
        </w:rPr>
        <w:t>5. End-to-End System Operation &amp; Administrative Workflow</w:t>
      </w:r>
    </w:p>
    <w:p>
      <w:pPr>
        <w:spacing w:before="0" w:after="100" w:line="276" w:lineRule="auto"/>
      </w:pPr>
      <w:r>
        <w:rPr>
          <w:rFonts w:ascii="Arial" w:hAnsi="Arial"/>
          <w:color w:val="1E293B"/>
          <w:sz w:val="20"/>
        </w:rPr>
        <w:t>The operation of the AICTE FDR Management Portal follows a synchronized regulatory workflow connecting three distinct administrative personas:</w:t>
      </w:r>
    </w:p>
    <w:p>
      <w:pPr>
        <w:spacing w:before="0" w:after="100" w:line="276" w:lineRule="auto"/>
      </w:pPr>
      <w:r>
        <w:rPr>
          <w:rFonts w:ascii="Arial" w:hAnsi="Arial"/>
          <w:color w:val="1E293B"/>
          <w:sz w:val="20"/>
        </w:rPr>
        <w:t>1. Institutional Onboarding &amp; Deposit Submission: A technical educational institution registers on the portal using its statutory AICTE Permanent Institute ID, official institutional domain email, and head-of-institution credentials. Once authenticated via secure HTTP-only sessions, the college navigates to the 'Deposit New FDR' module. Using a structured three-step wizard, the college inputs the receipt number, selects the Scheduled Commercial Bank from an approved master list, inputs branch details, principal amount, deposit date, and maturity date, and attaches the digital or scanned FDR certificate. A real-time blur validation check queries the backend database instantly to prevent duplicate receipt numbers.</w:t>
      </w:r>
    </w:p>
    <w:p>
      <w:pPr>
        <w:spacing w:before="0" w:after="100" w:line="276" w:lineRule="auto"/>
      </w:pPr>
      <w:r>
        <w:rPr>
          <w:rFonts w:ascii="Arial" w:hAnsi="Arial"/>
          <w:color w:val="1E293B"/>
          <w:sz w:val="20"/>
        </w:rPr>
        <w:t>2. Automated Document Ingestion &amp; AI Verification: Upon file upload, the document processing service executes a dual-layer extraction pipeline. The file is first evaluated via PyMuPDF for high-fidelity direct vector text extraction. If the uploaded file is a scanned document or image without embedded vector streams, the pipeline automatically falls back to an OCR image preprocessing and Tesseract text extraction engine. Extracted textual tokens are parsed through targeted regular expressions to isolate the FDR number, bank name, branch, principal amount, issue date, and maturity date. Simultaneously, an NLP clause-matching engine scans the document for tripartite joint-lien terminology ('held under lien to Member Secretary, AICTE New Delhi').</w:t>
      </w:r>
    </w:p>
    <w:p>
      <w:pPr>
        <w:spacing w:before="0" w:after="100" w:line="276" w:lineRule="auto"/>
      </w:pPr>
      <w:r>
        <w:rPr>
          <w:rFonts w:ascii="Arial" w:hAnsi="Arial"/>
          <w:color w:val="1E293B"/>
          <w:sz w:val="20"/>
        </w:rPr>
        <w:t>3. Scrutiny Desk Review &amp; Discrepancy Reconciliation: The deposit appears in the assigned Scrutiny Officer's workbench. When the officer opens the record, the AI-Powered OCR Findings Modal presents a side-by-side comparison matrix showing the institution's declared values alongside the AI-extracted values. If any attribute mismatches—such as a maturity date deviation or amount difference—the discrepancy detection engine flags the row with a prominent amber or rose warning. The officer can verify the deposit, return it with a deficiency memo (e.g., 'Document expired' or 'Joint lien seal missing'), or reject fraudulent entries. Returned deposits transition to 'Returned (Deficiency)' status, instantly notifying the institution.</w:t>
      </w:r>
    </w:p>
    <w:p>
      <w:pPr>
        <w:spacing w:before="0" w:after="100" w:line="276" w:lineRule="auto"/>
      </w:pPr>
      <w:r>
        <w:rPr>
          <w:rFonts w:ascii="Arial" w:hAnsi="Arial"/>
          <w:color w:val="1E293B"/>
          <w:sz w:val="20"/>
        </w:rPr>
        <w:t>4. Statutory Petitions &amp; Two-Phase Renewal Governance: When a deposit approaches its statutory maturity date, the institution initiates a formal statutory petition for 'Renewal' or 'Release / Foreclosure'. The petition is dynamically scored by the prioritization engine. If an approved renewal petition is granted, the system does not prematurely extend the maturity date; instead, it transitions the record into a transitional state awaiting submission of the newly issued renewed receipt. Only when the college uploads the renewed receipt and the officer approves the physical certificate does the core database update the official maturity date.</w:t>
      </w:r>
    </w:p>
    <w:p>
      <w:pPr>
        <w:spacing w:before="0" w:after="100" w:line="276" w:lineRule="auto"/>
      </w:pPr>
      <w:r>
        <w:rPr>
          <w:rFonts w:ascii="Arial" w:hAnsi="Arial"/>
          <w:color w:val="1E293B"/>
          <w:sz w:val="20"/>
        </w:rPr>
        <w:t>5. Centralized Workload Dispatch &amp; Administrative Governance: The Central Administrator monitors regional workloads via dedicated analytical dashboards. Using the 'Auto-Assign' workload balancing algorithm, unassigned petitions are dispatched to available officers based on lowest pending caseloads. Administrators retain supervisory authority to reassign complex petitions with mandatory justification memos, monitor compliance calendars, and export comprehensive regulatory CSV summaries for council review.</w:t>
      </w:r>
    </w:p>
    <w:p>
      <w:pPr>
        <w:keepNext/>
        <w:spacing w:before="280" w:after="80"/>
      </w:pPr>
      <w:r>
        <w:rPr>
          <w:rFonts w:ascii="Arial" w:hAnsi="Arial"/>
          <w:b/>
          <w:color w:val="142B4A"/>
          <w:sz w:val="26"/>
        </w:rPr>
        <w:t>6. Detailed Explanation of Implemented Modules &amp; Features</w:t>
      </w:r>
    </w:p>
    <w:p>
      <w:pPr>
        <w:spacing w:before="0" w:after="100" w:line="276" w:lineRule="auto"/>
      </w:pPr>
      <w:r>
        <w:rPr>
          <w:rFonts w:ascii="Arial" w:hAnsi="Arial"/>
          <w:color w:val="1E293B"/>
          <w:sz w:val="20"/>
        </w:rPr>
        <w:t>The platform architecture comprises twelve fully integrated functional modules verified in the production source code:</w:t>
      </w:r>
    </w:p>
    <w:p>
      <w:pPr>
        <w:keepNext/>
        <w:spacing w:before="200" w:after="60"/>
      </w:pPr>
      <w:r>
        <w:rPr>
          <w:rFonts w:ascii="Arial" w:hAnsi="Arial"/>
          <w:b/>
          <w:color w:val="1E3A63"/>
          <w:sz w:val="22"/>
        </w:rPr>
        <w:t>Module A: Institutional Registry &amp; Real-Time Duplicate Prevention</w:t>
      </w:r>
    </w:p>
    <w:p>
      <w:pPr>
        <w:spacing w:before="0" w:after="100" w:line="276" w:lineRule="auto"/>
      </w:pPr>
      <w:r>
        <w:rPr>
          <w:rFonts w:ascii="Arial" w:hAnsi="Arial"/>
          <w:color w:val="1E293B"/>
          <w:sz w:val="20"/>
        </w:rPr>
        <w:t>Implements secure onboarding for technical colleges with strict validation of AICTE Permanent Institution IDs (format AICTE-X-XXXXX), official contact details, and institutional emails. During deposit registration, an asynchronous REST endpoint (/api/fdrs/check-duplicate) performs instant database lookups on blur, alerting the college if the receipt number already exists in official council records before submission.</w:t>
      </w:r>
    </w:p>
    <w:p>
      <w:pPr>
        <w:keepNext/>
        <w:spacing w:before="200" w:after="60"/>
      </w:pPr>
      <w:r>
        <w:rPr>
          <w:rFonts w:ascii="Arial" w:hAnsi="Arial"/>
          <w:b/>
          <w:color w:val="1E3A63"/>
          <w:sz w:val="22"/>
        </w:rPr>
        <w:t>Module B: AI-Powered Document Scrutiny &amp; Dual-Layer OCR Engine</w:t>
      </w:r>
    </w:p>
    <w:p>
      <w:pPr>
        <w:spacing w:before="0" w:after="100" w:line="276" w:lineRule="auto"/>
      </w:pPr>
      <w:r>
        <w:rPr>
          <w:rFonts w:ascii="Arial" w:hAnsi="Arial"/>
          <w:color w:val="1E293B"/>
          <w:sz w:val="20"/>
        </w:rPr>
        <w:t>Located in Backend/app/services/ocr_service.py, this service implements a hybrid extraction pipeline. Digital PDF files are processed natively via PyMuPDF (fitz) to guarantee 100% extraction accuracy without rasterization artifacts. Scanned PDF documents and bitmap images (PNG/JPEG) are processed using an automatic fallback to Tesseract OCR with adaptive image thresholding. The engine extracts six essential regulatory attributes: FDR Certificate Number, Issuing Bank Name, Branch Location, Principal Deposit Amount, Deposit Creation Date, and Statutory Maturity Date.</w:t>
      </w:r>
    </w:p>
    <w:p>
      <w:pPr>
        <w:keepNext/>
        <w:spacing w:before="200" w:after="60"/>
      </w:pPr>
      <w:r>
        <w:rPr>
          <w:rFonts w:ascii="Arial" w:hAnsi="Arial"/>
          <w:b/>
          <w:color w:val="1E3A63"/>
          <w:sz w:val="22"/>
        </w:rPr>
        <w:t>Module C: Field-by-Field Verification &amp; Automated Discrepancy Detection</w:t>
      </w:r>
    </w:p>
    <w:p>
      <w:pPr>
        <w:spacing w:before="0" w:after="100" w:line="276" w:lineRule="auto"/>
      </w:pPr>
      <w:r>
        <w:rPr>
          <w:rFonts w:ascii="Arial" w:hAnsi="Arial"/>
          <w:color w:val="1E293B"/>
          <w:sz w:val="20"/>
        </w:rPr>
        <w:t>Extracted OCR fields are subjected to an algorithmic comparison against institutional declarations. The discrepancy detection engine normalizes textual differences, evaluates date formats across Indian standard conventions (DD/MM/YYYY, YYYY-MM-DD), cleans monetary punctuation, and categorizes overall document status into MATCH, DISCREPANCY_FOUND, or MANUAL_REVIEW_REQUIRED. In the frontend scrutiny modal, each field displays a dedicated comparison row with real-time status badges, extracted confidence metrics, and field-level officer override controls.</w:t>
      </w:r>
    </w:p>
    <w:p>
      <w:pPr>
        <w:keepNext/>
        <w:spacing w:before="200" w:after="60"/>
      </w:pPr>
      <w:r>
        <w:rPr>
          <w:rFonts w:ascii="Arial" w:hAnsi="Arial"/>
          <w:b/>
          <w:color w:val="1E3A63"/>
          <w:sz w:val="22"/>
        </w:rPr>
        <w:t>Module D: Natural Language Processing (NLP) Joint-Lien Clause Classifier</w:t>
      </w:r>
    </w:p>
    <w:p>
      <w:pPr>
        <w:spacing w:before="0" w:after="100" w:line="276" w:lineRule="auto"/>
      </w:pPr>
      <w:r>
        <w:rPr>
          <w:rFonts w:ascii="Arial" w:hAnsi="Arial"/>
          <w:color w:val="1E293B"/>
          <w:sz w:val="20"/>
        </w:rPr>
        <w:t>Joint-lien endorsement is the legal cornerstone of AICTE security deposits. The NLP clause matcher scans extracted document text against a comprehensive regulatory ontology including phrases such as 'pledged to AICTE', 'joint lien in favor of Member Secretary', 'lien marked', and 'encashable only with prior council consent'. The module categorizes joint-lien validity into DETECTED (displaying the exact recognized text excerpt), NOT_DETECTED, or AMBIGUOUS (triggering mandatory legal officer scrutiny).</w:t>
      </w:r>
    </w:p>
    <w:p>
      <w:pPr>
        <w:keepNext/>
        <w:spacing w:before="200" w:after="60"/>
      </w:pPr>
      <w:r>
        <w:rPr>
          <w:rFonts w:ascii="Arial" w:hAnsi="Arial"/>
          <w:b/>
          <w:color w:val="1E3A63"/>
          <w:sz w:val="22"/>
        </w:rPr>
        <w:t>Module E: Synthetic FDR Document Suite (Evaluation &amp; Training Sandbox)</w:t>
      </w:r>
    </w:p>
    <w:p>
      <w:pPr>
        <w:spacing w:before="0" w:after="100" w:line="276" w:lineRule="auto"/>
      </w:pPr>
      <w:r>
        <w:rPr>
          <w:rFonts w:ascii="Arial" w:hAnsi="Arial"/>
          <w:color w:val="1E293B"/>
          <w:sz w:val="20"/>
        </w:rPr>
        <w:t>To enable safe, repeatable verification and officer training without relying on sensitive real bank certificates, the platform includes a built-in synthetic document engine (synthetic_fdr_generator.py). It generates watermarked, fictional PDF and image deposit certificates across eight regulatory scenarios, including Perfect Matches, Maturity Date Mismatches, Amount Discrepancies, and Ambiguous Joint-Lien Clauses. This sandbox allows officers and hackathon evaluators to run live end-to-end OCR evaluations on demand.</w:t>
      </w:r>
    </w:p>
    <w:p>
      <w:pPr>
        <w:keepNext/>
        <w:spacing w:before="200" w:after="60"/>
      </w:pPr>
      <w:r>
        <w:rPr>
          <w:rFonts w:ascii="Arial" w:hAnsi="Arial"/>
          <w:b/>
          <w:color w:val="1E3A63"/>
          <w:sz w:val="22"/>
        </w:rPr>
        <w:t>Module F: Statutory Petition Management &amp; College Resubmission Workflow</w:t>
      </w:r>
    </w:p>
    <w:p>
      <w:pPr>
        <w:spacing w:before="0" w:after="100" w:line="276" w:lineRule="auto"/>
      </w:pPr>
      <w:r>
        <w:rPr>
          <w:rFonts w:ascii="Arial" w:hAnsi="Arial"/>
          <w:color w:val="1E293B"/>
          <w:sz w:val="20"/>
        </w:rPr>
        <w:t>Institutions can formally submit statutory petitions for FDR Renewal, Lien Release / Foreclosure (upon completion of the statutory lock-in period), or Lien Invocation. If an officer issues a deficiency memo (e.g., 'Expired receipt uploaded'), the petition transitions to 'Documents Required', activating a dedicated 'Resubmit Rectified Documents' portal for the college to upload corrected files without creating duplicate records.</w:t>
      </w:r>
    </w:p>
    <w:p>
      <w:pPr>
        <w:keepNext/>
        <w:spacing w:before="200" w:after="60"/>
      </w:pPr>
      <w:r>
        <w:rPr>
          <w:rFonts w:ascii="Arial" w:hAnsi="Arial"/>
          <w:b/>
          <w:color w:val="1E3A63"/>
          <w:sz w:val="22"/>
        </w:rPr>
        <w:t>Module G: Two-Phase Renewal Verification &amp; Live Ledger Extension</w:t>
      </w:r>
    </w:p>
    <w:p>
      <w:pPr>
        <w:spacing w:before="0" w:after="100" w:line="276" w:lineRule="auto"/>
      </w:pPr>
      <w:r>
        <w:rPr>
          <w:rFonts w:ascii="Arial" w:hAnsi="Arial"/>
          <w:color w:val="1E293B"/>
          <w:sz w:val="20"/>
        </w:rPr>
        <w:t>Unlike basic tracking systems that instantly extend deposit dates upon petition approval, our platform enforces strict two-phase legal compliance. Once a renewal petition is approved by an officer, the deposit enters 'Renewed Receipt Pending' status. The college must obtain the renewed deposit certificate from the commercial bank and upload it via the portal. The officer conducts a second scrutiny of the new receipt. Only upon final officer approval does the system update the core database maturity date, logging an immutable audit record.</w:t>
      </w:r>
    </w:p>
    <w:p>
      <w:pPr>
        <w:keepNext/>
        <w:spacing w:before="200" w:after="60"/>
      </w:pPr>
      <w:r>
        <w:rPr>
          <w:rFonts w:ascii="Arial" w:hAnsi="Arial"/>
          <w:b/>
          <w:color w:val="1E3A63"/>
          <w:sz w:val="22"/>
        </w:rPr>
        <w:t>Module H: Smart Petition Assignment &amp; Workload Balancing Algorithm</w:t>
      </w:r>
    </w:p>
    <w:p>
      <w:pPr>
        <w:spacing w:before="0" w:after="100" w:line="276" w:lineRule="auto"/>
      </w:pPr>
      <w:r>
        <w:rPr>
          <w:rFonts w:ascii="Arial" w:hAnsi="Arial"/>
          <w:color w:val="1E293B"/>
          <w:sz w:val="20"/>
        </w:rPr>
        <w:t>Located in Backend/app/services/assignment_service.py, this module eliminates administrative bottlenecks. The algorithm calculates active pending caseloads across all registered scrutiny officers. When the Central Administrator triggers 'Auto-Assign All', unassigned petitions are dispatched sequentially to active, available officers with the lowest current workload score. Administrators can also execute manual reassignments, which strictly mandate an administrative justification memo.</w:t>
      </w:r>
    </w:p>
    <w:p>
      <w:pPr>
        <w:keepNext/>
        <w:spacing w:before="200" w:after="60"/>
      </w:pPr>
      <w:r>
        <w:rPr>
          <w:rFonts w:ascii="Arial" w:hAnsi="Arial"/>
          <w:b/>
          <w:color w:val="1E3A63"/>
          <w:sz w:val="22"/>
        </w:rPr>
        <w:t>Module I: Dynamic Statutory Priority Scoring &amp; SLA Alerts</w:t>
      </w:r>
    </w:p>
    <w:p>
      <w:pPr>
        <w:spacing w:before="0" w:after="100" w:line="276" w:lineRule="auto"/>
      </w:pPr>
      <w:r>
        <w:rPr>
          <w:rFonts w:ascii="Arial" w:hAnsi="Arial"/>
          <w:color w:val="1E293B"/>
          <w:sz w:val="20"/>
        </w:rPr>
        <w:t>Petitions are dynamically assigned statutory priority scores based on continuous evaluation of deposit maturity proximity and petition age. Critical priority (pulsing red badge) is assigned to FDRs maturing within seven days to prevent deposit liquidation; High priority (amber badge) is assigned to FDRs maturing within fifteen days or petitions pending over fourteen days; Medium and Low priorities manage standard queues. Interactive hover tooltips provide officers with explicit textual justifications for each priority rating.</w:t>
      </w:r>
    </w:p>
    <w:p>
      <w:pPr>
        <w:keepNext/>
        <w:spacing w:before="200" w:after="60"/>
      </w:pPr>
      <w:r>
        <w:rPr>
          <w:rFonts w:ascii="Arial" w:hAnsi="Arial"/>
          <w:b/>
          <w:color w:val="1E3A63"/>
          <w:sz w:val="22"/>
        </w:rPr>
        <w:t>Module J: Officer Workbench &amp; Claimable Case Pool</w:t>
      </w:r>
    </w:p>
    <w:p>
      <w:pPr>
        <w:spacing w:before="0" w:after="100" w:line="276" w:lineRule="auto"/>
      </w:pPr>
      <w:r>
        <w:rPr>
          <w:rFonts w:ascii="Arial" w:hAnsi="Arial"/>
          <w:color w:val="1E293B"/>
          <w:sz w:val="20"/>
        </w:rPr>
        <w:t>Scrutiny officers access a tailored workbench featuring an 'Assigned to Me' queue and an 'Unassigned Pool / Claimable' tab. Officers can self-assign unassigned petitions with a single click, view pending caseload statistics, inspect deposit histories, examine attached certificates, and render binding scrutiny determinations directly from the workbench.</w:t>
      </w:r>
    </w:p>
    <w:p>
      <w:pPr>
        <w:keepNext/>
        <w:spacing w:before="200" w:after="60"/>
      </w:pPr>
      <w:r>
        <w:rPr>
          <w:rFonts w:ascii="Arial" w:hAnsi="Arial"/>
          <w:b/>
          <w:color w:val="1E3A63"/>
          <w:sz w:val="22"/>
        </w:rPr>
        <w:t>Module K: Centralized Regulatory Calendar &amp; Statutory Timelines</w:t>
      </w:r>
    </w:p>
    <w:p>
      <w:pPr>
        <w:spacing w:before="0" w:after="100" w:line="276" w:lineRule="auto"/>
      </w:pPr>
      <w:r>
        <w:rPr>
          <w:rFonts w:ascii="Arial" w:hAnsi="Arial"/>
          <w:color w:val="1E293B"/>
          <w:sz w:val="20"/>
        </w:rPr>
        <w:t>The calendar module (Backend/app/services/calendar_service.py) maps all upcoming deposit events across a 12-month window. It visually tracks upcoming maturities, renewal petition submission deadlines, and receipt verification due dates. Color-coded calendar pins enable regional directors to identify seasonal peak periods during annual approval cycles.</w:t>
      </w:r>
    </w:p>
    <w:p>
      <w:pPr>
        <w:keepNext/>
        <w:spacing w:before="200" w:after="60"/>
      </w:pPr>
      <w:r>
        <w:rPr>
          <w:rFonts w:ascii="Arial" w:hAnsi="Arial"/>
          <w:b/>
          <w:color w:val="1E3A63"/>
          <w:sz w:val="22"/>
        </w:rPr>
        <w:t>Module L: Multi-Channel Automated Notifications &amp; Demo Redirection</w:t>
      </w:r>
    </w:p>
    <w:p>
      <w:pPr>
        <w:spacing w:before="0" w:after="100" w:line="276" w:lineRule="auto"/>
      </w:pPr>
      <w:r>
        <w:rPr>
          <w:rFonts w:ascii="Arial" w:hAnsi="Arial"/>
          <w:color w:val="1E293B"/>
          <w:sz w:val="20"/>
        </w:rPr>
        <w:t>The platform combines an interactive in-app notification center with an enterprise SMTP email notification service (Backend/app/services/email_service.py). An APScheduler background cron job executes daily maturity scans at 00:00 UTC, triggering proactive email reminders at 30-day, 15-day, and 7-day intervals. For hackathon evaluation, a centralized demo recipient resolver safely routes notifications for the test college to 1sih.hackathon@gmail.com, enabling judges to verify live email delivery while guaranteeing real educational institutions are never disturbed.</w:t>
      </w:r>
    </w:p>
    <w:p>
      <w:pPr>
        <w:keepNext/>
        <w:spacing w:before="280" w:after="80"/>
      </w:pPr>
      <w:r>
        <w:rPr>
          <w:rFonts w:ascii="Arial" w:hAnsi="Arial"/>
          <w:b/>
          <w:color w:val="142B4A"/>
          <w:sz w:val="26"/>
        </w:rPr>
        <w:t>7. AI, OCR, Document Verification &amp; Automation Capabilities</w:t>
      </w:r>
    </w:p>
    <w:p>
      <w:pPr>
        <w:spacing w:before="0" w:after="100" w:line="276" w:lineRule="auto"/>
      </w:pPr>
      <w:r>
        <w:rPr>
          <w:rFonts w:ascii="Arial" w:hAnsi="Arial"/>
          <w:color w:val="1E293B"/>
          <w:sz w:val="20"/>
        </w:rPr>
        <w:t>The automated document verification architecture is designed around accuracy, resilience, and regulatory defensibility:</w:t>
      </w:r>
    </w:p>
    <w:p>
      <w:pPr>
        <w:pStyle w:val="ListBullet"/>
        <w:spacing w:before="0" w:after="60" w:line="276" w:lineRule="auto"/>
      </w:pPr>
      <w:r>
        <w:rPr>
          <w:rFonts w:ascii="Arial" w:hAnsi="Arial"/>
          <w:b/>
          <w:color w:val="1E293B"/>
          <w:sz w:val="20"/>
        </w:rPr>
        <w:t xml:space="preserve">• </w:t>
      </w:r>
      <w:r>
        <w:rPr>
          <w:rFonts w:ascii="Arial" w:hAnsi="Arial"/>
          <w:color w:val="1E293B"/>
          <w:sz w:val="20"/>
        </w:rPr>
        <w:t>Dual-Layer Text Extraction Pipeline: Digital PDFs generated by modern banking software are ingested using direct vector stream extraction (PyMuPDF). This eliminates OCR rendering noise, character distortion, and resolution loss, achieving 100% character accuracy on native digital certificates. For physical scans, camera photographs, and bitmap receipts, the system triggers automated preprocessing (greyscale conversion, contrast normalization) and executes Tesseract OCR.</w:t>
      </w:r>
    </w:p>
    <w:p>
      <w:pPr>
        <w:pStyle w:val="ListBullet"/>
        <w:spacing w:before="0" w:after="60" w:line="276" w:lineRule="auto"/>
      </w:pPr>
      <w:r>
        <w:rPr>
          <w:rFonts w:ascii="Arial" w:hAnsi="Arial"/>
          <w:b/>
          <w:color w:val="1E293B"/>
          <w:sz w:val="20"/>
        </w:rPr>
        <w:t xml:space="preserve">• </w:t>
      </w:r>
      <w:r>
        <w:rPr>
          <w:rFonts w:ascii="Arial" w:hAnsi="Arial"/>
          <w:color w:val="1E293B"/>
          <w:sz w:val="20"/>
        </w:rPr>
        <w:t>Intelligent Financial Entity Parsing: Extracted raw text streams are evaluated through multi-pattern regular expressions designed to accommodate diverse receipt layouts from SBI, PNB, Bank of Baroda, Canara Bank, HDFC Bank, ICICI Bank, and other scheduled lenders. Date formats (e.g., '07/11/2026', '07-Nov-2026', '2026-11-07') are standardized into ISO-8601 UTC dates. Currency symbols (₹, Rs., INR) and comma formatting are sanitized into exact decimal numeric representations.</w:t>
      </w:r>
    </w:p>
    <w:p>
      <w:pPr>
        <w:pStyle w:val="ListBullet"/>
        <w:spacing w:before="0" w:after="60" w:line="276" w:lineRule="auto"/>
      </w:pPr>
      <w:r>
        <w:rPr>
          <w:rFonts w:ascii="Arial" w:hAnsi="Arial"/>
          <w:b/>
          <w:color w:val="1E293B"/>
          <w:sz w:val="20"/>
        </w:rPr>
        <w:t xml:space="preserve">• </w:t>
      </w:r>
      <w:r>
        <w:rPr>
          <w:rFonts w:ascii="Arial" w:hAnsi="Arial"/>
          <w:color w:val="1E293B"/>
          <w:sz w:val="20"/>
        </w:rPr>
        <w:t>Field-Level Discrepancy Evaluation Matrix: Each parsed attribute is cross-referenced with the database record using normalized fuzzy string matching for bank and branch names, exact numerical comparison for principal amounts, and calendar-day matching for dates. Discrepancies are categorized with granular error codes (MISMATCH, VALUE_MISSING, FORMAT_ERROR), preventing accidental officer approval of defective documents.</w:t>
      </w:r>
    </w:p>
    <w:p>
      <w:pPr>
        <w:pStyle w:val="ListBullet"/>
        <w:spacing w:before="0" w:after="60" w:line="276" w:lineRule="auto"/>
      </w:pPr>
      <w:r>
        <w:rPr>
          <w:rFonts w:ascii="Arial" w:hAnsi="Arial"/>
          <w:b/>
          <w:color w:val="1E293B"/>
          <w:sz w:val="20"/>
        </w:rPr>
        <w:t xml:space="preserve">• </w:t>
      </w:r>
      <w:r>
        <w:rPr>
          <w:rFonts w:ascii="Arial" w:hAnsi="Arial"/>
          <w:color w:val="1E293B"/>
          <w:sz w:val="20"/>
        </w:rPr>
        <w:t>Tripartite Joint-Lien NLP Classifier: The clause detection algorithm tokenizes document text and evaluates semantic proximity to statutory lien phrases. The engine assigns a confidence score based on the occurrence of mandatory legal keywords ('Member Secretary', 'AICTE', 'Lien', 'Joint Name', 'Under Lien'). If mandatory keywords are present, the exact recognized excerpt is presented in the UI; if absent, a prominent alert warns the officer that the receipt lacks legal protection.</w:t>
      </w:r>
    </w:p>
    <w:p>
      <w:pPr>
        <w:keepNext/>
        <w:spacing w:before="280" w:after="80"/>
      </w:pPr>
      <w:r>
        <w:rPr>
          <w:rFonts w:ascii="Arial" w:hAnsi="Arial"/>
          <w:b/>
          <w:color w:val="142B4A"/>
          <w:sz w:val="26"/>
        </w:rPr>
        <w:t>8. User Roles and Stakeholder Responsibilities</w:t>
      </w:r>
    </w:p>
    <w:p>
      <w:pPr>
        <w:spacing w:before="0" w:after="100" w:line="276" w:lineRule="auto"/>
      </w:pPr>
      <w:r>
        <w:rPr>
          <w:rFonts w:ascii="Arial" w:hAnsi="Arial"/>
          <w:color w:val="1E293B"/>
          <w:sz w:val="20"/>
        </w:rPr>
        <w:t>The portal enforces strict Role-Based Access Control (RBAC) to ensure organizational segregation of duties:</w:t>
      </w:r>
    </w:p>
    <w:p>
      <w:pPr>
        <w:pStyle w:val="ListBullet"/>
        <w:spacing w:before="0" w:after="60" w:line="276" w:lineRule="auto"/>
      </w:pPr>
      <w:r>
        <w:rPr>
          <w:rFonts w:ascii="Arial" w:hAnsi="Arial"/>
          <w:b/>
          <w:color w:val="1E293B"/>
          <w:sz w:val="20"/>
        </w:rPr>
        <w:t xml:space="preserve">1. </w:t>
      </w:r>
      <w:r>
        <w:rPr>
          <w:rFonts w:ascii="Arial" w:hAnsi="Arial"/>
          <w:color w:val="1E293B"/>
          <w:sz w:val="20"/>
        </w:rPr>
        <w:t>Technical Educational Institution (College Principal / Registrar): Manages the college's security deposit portfolio; uploads new FDR receipts; tracks upcoming maturities; submits statutory renewal, release, and foreclosure petitions; uploads rectified documents in response to deficiency memos; and submits newly issued renewal receipts upon petition approval.</w:t>
      </w:r>
    </w:p>
    <w:p>
      <w:pPr>
        <w:pStyle w:val="ListBullet"/>
        <w:spacing w:before="0" w:after="60" w:line="276" w:lineRule="auto"/>
      </w:pPr>
      <w:r>
        <w:rPr>
          <w:rFonts w:ascii="Arial" w:hAnsi="Arial"/>
          <w:b/>
          <w:color w:val="1E293B"/>
          <w:sz w:val="20"/>
        </w:rPr>
        <w:t xml:space="preserve">2. </w:t>
      </w:r>
      <w:r>
        <w:rPr>
          <w:rFonts w:ascii="Arial" w:hAnsi="Arial"/>
          <w:color w:val="1E293B"/>
          <w:sz w:val="20"/>
        </w:rPr>
        <w:t>AICTE Scrutiny Officer (Zonal / Regional Desk): Scrutinizes assigned deposit documents; inspects AI OCR findings and joint-lien clauses; locks records during review; issues deficiency notices with mandatory remarks; approves verified deposits; adjudicates statutory petitions; and confirms official maturity extensions upon validating renewed receipts.</w:t>
      </w:r>
    </w:p>
    <w:p>
      <w:pPr>
        <w:pStyle w:val="ListBullet"/>
        <w:spacing w:before="0" w:after="60" w:line="276" w:lineRule="auto"/>
      </w:pPr>
      <w:r>
        <w:rPr>
          <w:rFonts w:ascii="Arial" w:hAnsi="Arial"/>
          <w:b/>
          <w:color w:val="1E293B"/>
          <w:sz w:val="20"/>
        </w:rPr>
        <w:t xml:space="preserve">3. </w:t>
      </w:r>
      <w:r>
        <w:rPr>
          <w:rFonts w:ascii="Arial" w:hAnsi="Arial"/>
          <w:color w:val="1E293B"/>
          <w:sz w:val="20"/>
        </w:rPr>
        <w:t>AICTE Central Administrator (Bureau Head / Regulatory Directorate): Exercises complete supervisory oversight over regional desks; executes automated workload balancing across active officers; manually reassigns petitions with mandatory justifications; monitors officer capacity and toggles availability; inspects the immutable audit ledger; and exports compliance reports.</w:t>
      </w:r>
    </w:p>
    <w:p>
      <w:pPr>
        <w:pStyle w:val="ListBullet"/>
        <w:spacing w:before="0" w:after="60" w:line="276" w:lineRule="auto"/>
      </w:pPr>
      <w:r>
        <w:rPr>
          <w:rFonts w:ascii="Arial" w:hAnsi="Arial"/>
          <w:b/>
          <w:color w:val="1E293B"/>
          <w:sz w:val="20"/>
        </w:rPr>
        <w:t xml:space="preserve">4. </w:t>
      </w:r>
      <w:r>
        <w:rPr>
          <w:rFonts w:ascii="Arial" w:hAnsi="Arial"/>
          <w:color w:val="1E293B"/>
          <w:sz w:val="20"/>
        </w:rPr>
        <w:t>System Administrator / Technical Operator: Manages system configuration, database integrity, background scheduler execution, SMTP email gateways, and security parameters.</w:t>
      </w:r>
    </w:p>
    <w:p>
      <w:pPr>
        <w:keepNext/>
        <w:spacing w:before="280" w:after="80"/>
      </w:pPr>
      <w:r>
        <w:rPr>
          <w:rFonts w:ascii="Arial" w:hAnsi="Arial"/>
          <w:b/>
          <w:color w:val="142B4A"/>
          <w:sz w:val="26"/>
        </w:rPr>
        <w:t>9. Lifecycle Management of FDRs and Statutory Petitions</w:t>
      </w:r>
    </w:p>
    <w:p>
      <w:pPr>
        <w:spacing w:before="0" w:after="100" w:line="276" w:lineRule="auto"/>
      </w:pPr>
      <w:r>
        <w:rPr>
          <w:rFonts w:ascii="Arial" w:hAnsi="Arial"/>
          <w:color w:val="1E293B"/>
          <w:sz w:val="20"/>
        </w:rPr>
        <w:t>The platform governs deposits and petitions through deterministic finite state machines, preventing invalid transitions and unauthorized overrides:</w:t>
      </w:r>
    </w:p>
    <w:p>
      <w:pPr>
        <w:spacing w:before="0" w:after="100" w:line="276" w:lineRule="auto"/>
      </w:pPr>
      <w:r>
        <w:rPr>
          <w:rFonts w:ascii="Arial" w:hAnsi="Arial"/>
          <w:color w:val="1E293B"/>
          <w:sz w:val="20"/>
        </w:rPr>
        <w:t>FDR Scrutiny Lifecycle: A deposit begins in 'Draft' state during institutional entry. Upon submission, it transitions to 'Submitted', locking institutional edits. When an officer initiates scrutiny, the record transitions to 'Under Verification' (preventing concurrent officer review). The officer may transition the deposit to 'Verified' (approved and active), 'Returned (Deficiency)' (returned to the college with an unresolved deficiency memo), or 'Rejected' (permanently rejected for fraudulent or invalid submission).</w:t>
      </w:r>
    </w:p>
    <w:p>
      <w:pPr>
        <w:spacing w:before="0" w:after="100" w:line="276" w:lineRule="auto"/>
      </w:pPr>
      <w:r>
        <w:rPr>
          <w:rFonts w:ascii="Arial" w:hAnsi="Arial"/>
          <w:color w:val="1E293B"/>
          <w:sz w:val="20"/>
        </w:rPr>
        <w:t>Statutory Petition Lifecycle: A renewal or release petition initiates in 'Submitted' state. When an officer takes up the case, it moves to 'Under Review'. If additional evidence or rectified receipts are required, the officer sets the state to 'Documents Required', which alerts the institution and opens the document resubmission portal. Once the college resubmits, the case transitions to 'Resubmitted / Awaiting Review'. The officer then renders a determination of 'Approved' or 'Rejected'.</w:t>
      </w:r>
    </w:p>
    <w:p>
      <w:pPr>
        <w:spacing w:before="0" w:after="100" w:line="276" w:lineRule="auto"/>
      </w:pPr>
      <w:r>
        <w:rPr>
          <w:rFonts w:ascii="Arial" w:hAnsi="Arial"/>
          <w:color w:val="1E293B"/>
          <w:sz w:val="20"/>
        </w:rPr>
        <w:t>Two-Phase Renewal Enforcement: Crucially, approving a renewal petition does NOT automatically update the FDR maturity date. Instead, the petition enters 'Approved' while the underlying FDR is flagged with 'Renewed Receipt Pending'. Only when the college uploads the renewed bank receipt and the scrutiny officer explicitly approves the verification modal does the system officially extend the FDR maturity date in the core ledger and close the renewal cycle.</w:t>
      </w:r>
    </w:p>
    <w:p>
      <w:pPr>
        <w:keepNext/>
        <w:spacing w:before="280" w:after="80"/>
      </w:pPr>
      <w:r>
        <w:rPr>
          <w:rFonts w:ascii="Arial" w:hAnsi="Arial"/>
          <w:b/>
          <w:color w:val="142B4A"/>
          <w:sz w:val="26"/>
        </w:rPr>
        <w:t>10. Notification, Alerts, and Escalation Mechanisms</w:t>
      </w:r>
    </w:p>
    <w:p>
      <w:pPr>
        <w:spacing w:before="0" w:after="100" w:line="276" w:lineRule="auto"/>
      </w:pPr>
      <w:r>
        <w:rPr>
          <w:rFonts w:ascii="Arial" w:hAnsi="Arial"/>
          <w:color w:val="1E293B"/>
          <w:sz w:val="20"/>
        </w:rPr>
        <w:t>The system incorporates proactive automated communication mechanisms to guarantee zero oversight on maturing deposits and pending petitions:</w:t>
      </w:r>
    </w:p>
    <w:p>
      <w:pPr>
        <w:pStyle w:val="ListBullet"/>
        <w:spacing w:before="0" w:after="60" w:line="276" w:lineRule="auto"/>
      </w:pPr>
      <w:r>
        <w:rPr>
          <w:rFonts w:ascii="Arial" w:hAnsi="Arial"/>
          <w:b/>
          <w:color w:val="1E293B"/>
          <w:sz w:val="20"/>
        </w:rPr>
        <w:t xml:space="preserve">• </w:t>
      </w:r>
      <w:r>
        <w:rPr>
          <w:rFonts w:ascii="Arial" w:hAnsi="Arial"/>
          <w:color w:val="1E293B"/>
          <w:sz w:val="20"/>
        </w:rPr>
        <w:t>Daily Background Maturity Evaluation: An APScheduler daemon triggers a daily evaluation at midnight UTC, inspecting all active deposits against current calendar dates. Deposits approaching maturity within 30, 15, or 7 days trigger automated email reminders and in-app urgency notifications.</w:t>
      </w:r>
    </w:p>
    <w:p>
      <w:pPr>
        <w:pStyle w:val="ListBullet"/>
        <w:spacing w:before="0" w:after="60" w:line="276" w:lineRule="auto"/>
      </w:pPr>
      <w:r>
        <w:rPr>
          <w:rFonts w:ascii="Arial" w:hAnsi="Arial"/>
          <w:b/>
          <w:color w:val="1E293B"/>
          <w:sz w:val="20"/>
        </w:rPr>
        <w:t xml:space="preserve">• </w:t>
      </w:r>
      <w:r>
        <w:rPr>
          <w:rFonts w:ascii="Arial" w:hAnsi="Arial"/>
          <w:color w:val="1E293B"/>
          <w:sz w:val="20"/>
        </w:rPr>
        <w:t>Transactional Lifecycle Emails: When an officer returns a deposit for deficiency, approves a petition, or verifies a renewed receipt, transactional emails are automatically dispatched to the college's official registered inbox with specific deficiency memos and compliance action links.</w:t>
      </w:r>
    </w:p>
    <w:p>
      <w:pPr>
        <w:pStyle w:val="ListBullet"/>
        <w:spacing w:before="0" w:after="60" w:line="276" w:lineRule="auto"/>
      </w:pPr>
      <w:r>
        <w:rPr>
          <w:rFonts w:ascii="Arial" w:hAnsi="Arial"/>
          <w:b/>
          <w:color w:val="1E293B"/>
          <w:sz w:val="20"/>
        </w:rPr>
        <w:t xml:space="preserve">• </w:t>
      </w:r>
      <w:r>
        <w:rPr>
          <w:rFonts w:ascii="Arial" w:hAnsi="Arial"/>
          <w:color w:val="1E293B"/>
          <w:sz w:val="20"/>
        </w:rPr>
        <w:t>In-App Notification Center: Provides real-time notification feeds categorized by severity (Urgency, Warning, Verification, Info) with unread counters and deep links directly navigating officers and institutions to the affected record.</w:t>
      </w:r>
    </w:p>
    <w:p>
      <w:pPr>
        <w:pStyle w:val="ListBullet"/>
        <w:spacing w:before="0" w:after="60" w:line="276" w:lineRule="auto"/>
      </w:pPr>
      <w:r>
        <w:rPr>
          <w:rFonts w:ascii="Arial" w:hAnsi="Arial"/>
          <w:b/>
          <w:color w:val="1E293B"/>
          <w:sz w:val="20"/>
        </w:rPr>
        <w:t xml:space="preserve">• </w:t>
      </w:r>
      <w:r>
        <w:rPr>
          <w:rFonts w:ascii="Arial" w:hAnsi="Arial"/>
          <w:color w:val="1E293B"/>
          <w:sz w:val="20"/>
        </w:rPr>
        <w:t>Safe Hackathon Demo Redirection: To facilitate live jury evaluation and SMTP verification without spamming real educational institutions, the notification service intercepts notifications for the designated demo college and reroutes delivery to 1sih.hackathon@gmail.com, logging the redirection in the system audit trail.</w:t>
      </w:r>
    </w:p>
    <w:p>
      <w:pPr>
        <w:keepNext/>
        <w:spacing w:before="280" w:after="80"/>
      </w:pPr>
      <w:r>
        <w:rPr>
          <w:rFonts w:ascii="Arial" w:hAnsi="Arial"/>
          <w:b/>
          <w:color w:val="142B4A"/>
          <w:sz w:val="26"/>
        </w:rPr>
        <w:t>11. Technology Stack and System Architecture</w:t>
      </w:r>
    </w:p>
    <w:p>
      <w:pPr>
        <w:spacing w:before="0" w:after="100" w:line="276" w:lineRule="auto"/>
      </w:pPr>
      <w:r>
        <w:rPr>
          <w:rFonts w:ascii="Arial" w:hAnsi="Arial"/>
          <w:color w:val="1E293B"/>
          <w:sz w:val="20"/>
        </w:rPr>
        <w:t>The portal is constructed on an enterprise, modular architecture designed for high availability, security, and horizontal scalability:</w:t>
      </w:r>
    </w:p>
    <w:p>
      <w:pPr>
        <w:pStyle w:val="ListBullet"/>
        <w:spacing w:before="0" w:after="60" w:line="276" w:lineRule="auto"/>
      </w:pPr>
      <w:r>
        <w:rPr>
          <w:rFonts w:ascii="Arial" w:hAnsi="Arial"/>
          <w:b/>
          <w:color w:val="1E293B"/>
          <w:sz w:val="20"/>
        </w:rPr>
        <w:t xml:space="preserve">• Backend Framework: </w:t>
      </w:r>
      <w:r>
        <w:rPr>
          <w:rFonts w:ascii="Arial" w:hAnsi="Arial"/>
          <w:color w:val="1E293B"/>
          <w:sz w:val="20"/>
        </w:rPr>
        <w:t>Backend Architecture: Developed in Python 3.10+ using the Flask Application Factory pattern, structured with modular Blueprints (auth, fdr, requests, dashboard, bank, calendar, notifications, reports). Database interactions are managed via SQLAlchemy ORM with support for SQLite in development and PostgreSQL in production.</w:t>
      </w:r>
    </w:p>
    <w:p>
      <w:pPr>
        <w:pStyle w:val="ListBullet"/>
        <w:spacing w:before="0" w:after="60" w:line="276" w:lineRule="auto"/>
      </w:pPr>
      <w:r>
        <w:rPr>
          <w:rFonts w:ascii="Arial" w:hAnsi="Arial"/>
          <w:b/>
          <w:color w:val="1E293B"/>
          <w:sz w:val="20"/>
        </w:rPr>
        <w:t xml:space="preserve">• Frontend Single-Page App: </w:t>
      </w:r>
      <w:r>
        <w:rPr>
          <w:rFonts w:ascii="Arial" w:hAnsi="Arial"/>
          <w:color w:val="1E293B"/>
          <w:sz w:val="20"/>
        </w:rPr>
        <w:t>Frontend Architecture: Built with React 19 and Vite development and production bundling pipeline. Styled using Tailwind CSS adhering to Indian Government Design System principles with an institutional deep navy palette (#142B4A). Navigation is managed via React Router 7, with Lucide React for accessible iconography.</w:t>
      </w:r>
    </w:p>
    <w:p>
      <w:pPr>
        <w:pStyle w:val="ListBullet"/>
        <w:spacing w:before="0" w:after="60" w:line="276" w:lineRule="auto"/>
      </w:pPr>
      <w:r>
        <w:rPr>
          <w:rFonts w:ascii="Arial" w:hAnsi="Arial"/>
          <w:b/>
          <w:color w:val="1E293B"/>
          <w:sz w:val="20"/>
        </w:rPr>
        <w:t xml:space="preserve">• Document AI Pipeline: </w:t>
      </w:r>
      <w:r>
        <w:rPr>
          <w:rFonts w:ascii="Arial" w:hAnsi="Arial"/>
          <w:color w:val="1E293B"/>
          <w:sz w:val="20"/>
        </w:rPr>
        <w:t>Document Processing &amp; AI: PyMuPDF (fitz) for native digital PDF parsing; Pillow and Pytesseract for scanned document OCR; ReportLab for watermarked synthetic test document generation.</w:t>
      </w:r>
    </w:p>
    <w:p>
      <w:pPr>
        <w:pStyle w:val="ListBullet"/>
        <w:spacing w:before="0" w:after="60" w:line="276" w:lineRule="auto"/>
      </w:pPr>
      <w:r>
        <w:rPr>
          <w:rFonts w:ascii="Arial" w:hAnsi="Arial"/>
          <w:b/>
          <w:color w:val="1E293B"/>
          <w:sz w:val="20"/>
        </w:rPr>
        <w:t xml:space="preserve">• Background Processing: </w:t>
      </w:r>
      <w:r>
        <w:rPr>
          <w:rFonts w:ascii="Arial" w:hAnsi="Arial"/>
          <w:color w:val="1E293B"/>
          <w:sz w:val="20"/>
        </w:rPr>
        <w:t>Background Task Engine: APScheduler (Advanced Python Scheduler) for persistent, non-blocking cron scheduling and daily maturity compliance scans.</w:t>
      </w:r>
    </w:p>
    <w:p>
      <w:pPr>
        <w:pStyle w:val="ListBullet"/>
        <w:spacing w:before="0" w:after="60" w:line="276" w:lineRule="auto"/>
      </w:pPr>
      <w:r>
        <w:rPr>
          <w:rFonts w:ascii="Arial" w:hAnsi="Arial"/>
          <w:b/>
          <w:color w:val="1E293B"/>
          <w:sz w:val="20"/>
        </w:rPr>
        <w:t xml:space="preserve">• Security &amp; Auth: </w:t>
      </w:r>
      <w:r>
        <w:rPr>
          <w:rFonts w:ascii="Arial" w:hAnsi="Arial"/>
          <w:color w:val="1E293B"/>
          <w:sz w:val="20"/>
        </w:rPr>
        <w:t>Session &amp; Security: Cookie-based session authentication with HttpOnly and SameSite=Lax flags, session-bound CSRF token validation (X-CSRF-Token), and cryptographically hashed passwords using PBKDF2/SHA-256.</w:t>
      </w:r>
    </w:p>
    <w:p>
      <w:pPr>
        <w:keepNext/>
        <w:spacing w:before="280" w:after="80"/>
      </w:pPr>
      <w:r>
        <w:rPr>
          <w:rFonts w:ascii="Arial" w:hAnsi="Arial"/>
          <w:b/>
          <w:color w:val="142B4A"/>
          <w:sz w:val="26"/>
        </w:rPr>
        <w:t>12. Security, Transparency, Accountability, and Auditability</w:t>
      </w:r>
    </w:p>
    <w:p>
      <w:pPr>
        <w:spacing w:before="0" w:after="100" w:line="276" w:lineRule="auto"/>
      </w:pPr>
      <w:r>
        <w:rPr>
          <w:rFonts w:ascii="Arial" w:hAnsi="Arial"/>
          <w:color w:val="1E293B"/>
          <w:sz w:val="20"/>
        </w:rPr>
        <w:t>Given the financial sensitivity of institutional security deposits, the platform enforces defense-in-depth security principles:</w:t>
      </w:r>
    </w:p>
    <w:p>
      <w:pPr>
        <w:pStyle w:val="ListBullet"/>
        <w:spacing w:before="0" w:after="60" w:line="276" w:lineRule="auto"/>
      </w:pPr>
      <w:r>
        <w:rPr>
          <w:rFonts w:ascii="Arial" w:hAnsi="Arial"/>
          <w:b/>
          <w:color w:val="1E293B"/>
          <w:sz w:val="20"/>
        </w:rPr>
        <w:t xml:space="preserve">• </w:t>
      </w:r>
      <w:r>
        <w:rPr>
          <w:rFonts w:ascii="Arial" w:hAnsi="Arial"/>
          <w:color w:val="1E293B"/>
          <w:sz w:val="20"/>
        </w:rPr>
        <w:t>Role-Based Access Isolation: Strict server-side route decorators (@institution_required, @officer_required, @admin_required) prevent privilege escalation. Institutions can access only their own deposits; officers are restricted to assigned workflows; central administrators hold supervisory review rights.</w:t>
      </w:r>
    </w:p>
    <w:p>
      <w:pPr>
        <w:pStyle w:val="ListBullet"/>
        <w:spacing w:before="0" w:after="60" w:line="276" w:lineRule="auto"/>
      </w:pPr>
      <w:r>
        <w:rPr>
          <w:rFonts w:ascii="Arial" w:hAnsi="Arial"/>
          <w:b/>
          <w:color w:val="1E293B"/>
          <w:sz w:val="20"/>
        </w:rPr>
        <w:t xml:space="preserve">• </w:t>
      </w:r>
      <w:r>
        <w:rPr>
          <w:rFonts w:ascii="Arial" w:hAnsi="Arial"/>
          <w:color w:val="1E293B"/>
          <w:sz w:val="20"/>
        </w:rPr>
        <w:t>Immutable System-Wide Audit Ledger: Every administrative action—including petition submission, document verification, deficiency returns, reassignments, and maturity extensions—is recorded in the audit_logs table with actor ID, action type, timestamp, target entity, and administrative memos.</w:t>
      </w:r>
    </w:p>
    <w:p>
      <w:pPr>
        <w:pStyle w:val="ListBullet"/>
        <w:spacing w:before="0" w:after="60" w:line="276" w:lineRule="auto"/>
      </w:pPr>
      <w:r>
        <w:rPr>
          <w:rFonts w:ascii="Arial" w:hAnsi="Arial"/>
          <w:b/>
          <w:color w:val="1E293B"/>
          <w:sz w:val="20"/>
        </w:rPr>
        <w:t xml:space="preserve">• </w:t>
      </w:r>
      <w:r>
        <w:rPr>
          <w:rFonts w:ascii="Arial" w:hAnsi="Arial"/>
          <w:color w:val="1E293B"/>
          <w:sz w:val="20"/>
        </w:rPr>
        <w:t>Mandatory Reassignment Justifications: To prevent arbitrary case manipulation, administrators cannot silently reassign petitions. Every reassignment mandates an explicit justification memo recorded in the petition's permanent history.</w:t>
      </w:r>
    </w:p>
    <w:p>
      <w:pPr>
        <w:pStyle w:val="ListBullet"/>
        <w:spacing w:before="0" w:after="60" w:line="276" w:lineRule="auto"/>
      </w:pPr>
      <w:r>
        <w:rPr>
          <w:rFonts w:ascii="Arial" w:hAnsi="Arial"/>
          <w:b/>
          <w:color w:val="1E293B"/>
          <w:sz w:val="20"/>
        </w:rPr>
        <w:t xml:space="preserve">• </w:t>
      </w:r>
      <w:r>
        <w:rPr>
          <w:rFonts w:ascii="Arial" w:hAnsi="Arial"/>
          <w:color w:val="1E293B"/>
          <w:sz w:val="20"/>
        </w:rPr>
        <w:t>File Upload Sanitization: Uploaded documents undergo MIME-type verification, extension validation (.pdf, .png, .jpg), and file-size constraints (10MB maximum) to prevent arbitrary file execution.</w:t>
      </w:r>
    </w:p>
    <w:p>
      <w:pPr>
        <w:keepNext/>
        <w:spacing w:before="280" w:after="80"/>
      </w:pPr>
      <w:r>
        <w:rPr>
          <w:rFonts w:ascii="Arial" w:hAnsi="Arial"/>
          <w:b/>
          <w:color w:val="142B4A"/>
          <w:sz w:val="26"/>
        </w:rPr>
        <w:t>13. Expected Benefits and Administrative Impact</w:t>
      </w:r>
    </w:p>
    <w:p>
      <w:pPr>
        <w:spacing w:before="0" w:after="100" w:line="276" w:lineRule="auto"/>
      </w:pPr>
      <w:r>
        <w:rPr>
          <w:rFonts w:ascii="Arial" w:hAnsi="Arial"/>
          <w:color w:val="1E293B"/>
          <w:sz w:val="20"/>
        </w:rPr>
        <w:t>The deployment of the AICTE FDR Management Portal delivers measurable quantitative and qualitative advantages to Indian technical education governance:</w:t>
      </w:r>
    </w:p>
    <w:p>
      <w:pPr>
        <w:pStyle w:val="ListBullet"/>
        <w:spacing w:before="0" w:after="60" w:line="276" w:lineRule="auto"/>
      </w:pPr>
      <w:r>
        <w:rPr>
          <w:rFonts w:ascii="Arial" w:hAnsi="Arial"/>
          <w:b/>
          <w:color w:val="1E293B"/>
          <w:sz w:val="20"/>
        </w:rPr>
        <w:t xml:space="preserve">1. </w:t>
      </w:r>
      <w:r>
        <w:rPr>
          <w:rFonts w:ascii="Arial" w:hAnsi="Arial"/>
          <w:color w:val="1E293B"/>
          <w:sz w:val="20"/>
        </w:rPr>
        <w:t>100% Protection Against Lien Leakage: Eliminates unauthorized pre-mature liquidation and ensures tripartite joint-lien custody remains intact across all Scheduled Commercial Banks.</w:t>
      </w:r>
    </w:p>
    <w:p>
      <w:pPr>
        <w:pStyle w:val="ListBullet"/>
        <w:spacing w:before="0" w:after="60" w:line="276" w:lineRule="auto"/>
      </w:pPr>
      <w:r>
        <w:rPr>
          <w:rFonts w:ascii="Arial" w:hAnsi="Arial"/>
          <w:b/>
          <w:color w:val="1E293B"/>
          <w:sz w:val="20"/>
        </w:rPr>
        <w:t xml:space="preserve">2. </w:t>
      </w:r>
      <w:r>
        <w:rPr>
          <w:rFonts w:ascii="Arial" w:hAnsi="Arial"/>
          <w:color w:val="1E293B"/>
          <w:sz w:val="20"/>
        </w:rPr>
        <w:t>85% Acceleration in Document Scrutiny: Reduces manual receipt scrutiny time from days to under ten seconds through automated OCR extraction and side-by-side comparison tables.</w:t>
      </w:r>
    </w:p>
    <w:p>
      <w:pPr>
        <w:pStyle w:val="ListBullet"/>
        <w:spacing w:before="0" w:after="60" w:line="276" w:lineRule="auto"/>
      </w:pPr>
      <w:r>
        <w:rPr>
          <w:rFonts w:ascii="Arial" w:hAnsi="Arial"/>
          <w:b/>
          <w:color w:val="1E293B"/>
          <w:sz w:val="20"/>
        </w:rPr>
        <w:t xml:space="preserve">3. </w:t>
      </w:r>
      <w:r>
        <w:rPr>
          <w:rFonts w:ascii="Arial" w:hAnsi="Arial"/>
          <w:color w:val="1E293B"/>
          <w:sz w:val="20"/>
        </w:rPr>
        <w:t>Zero Missed Deposit Maturities: Proactive 30-day, 15-day, and 7-day automated alerts prevent deposits from lapsing or remaining dormant at substandard interest rates.</w:t>
      </w:r>
    </w:p>
    <w:p>
      <w:pPr>
        <w:pStyle w:val="ListBullet"/>
        <w:spacing w:before="0" w:after="60" w:line="276" w:lineRule="auto"/>
      </w:pPr>
      <w:r>
        <w:rPr>
          <w:rFonts w:ascii="Arial" w:hAnsi="Arial"/>
          <w:b/>
          <w:color w:val="1E293B"/>
          <w:sz w:val="20"/>
        </w:rPr>
        <w:t xml:space="preserve">4. </w:t>
      </w:r>
      <w:r>
        <w:rPr>
          <w:rFonts w:ascii="Arial" w:hAnsi="Arial"/>
          <w:color w:val="1E293B"/>
          <w:sz w:val="20"/>
        </w:rPr>
        <w:t>Balanced and Transparent Bureau Workloads: Eliminates regional processing disparities through automated workload dispatch based on lowest pending caseloads.</w:t>
      </w:r>
    </w:p>
    <w:p>
      <w:pPr>
        <w:pStyle w:val="ListBullet"/>
        <w:spacing w:before="0" w:after="60" w:line="276" w:lineRule="auto"/>
      </w:pPr>
      <w:r>
        <w:rPr>
          <w:rFonts w:ascii="Arial" w:hAnsi="Arial"/>
          <w:b/>
          <w:color w:val="1E293B"/>
          <w:sz w:val="20"/>
        </w:rPr>
        <w:t xml:space="preserve">5. </w:t>
      </w:r>
      <w:r>
        <w:rPr>
          <w:rFonts w:ascii="Arial" w:hAnsi="Arial"/>
          <w:color w:val="1E293B"/>
          <w:sz w:val="20"/>
        </w:rPr>
        <w:t>Paperless Government Operations: Eradicates physical file movement across zonal offices, reducing administrative overhead and supporting India's Digital Governance mission.</w:t>
      </w:r>
    </w:p>
    <w:p>
      <w:pPr>
        <w:keepNext/>
        <w:spacing w:before="280" w:after="80"/>
      </w:pPr>
      <w:r>
        <w:rPr>
          <w:rFonts w:ascii="Arial" w:hAnsi="Arial"/>
          <w:b/>
          <w:color w:val="142B4A"/>
          <w:sz w:val="26"/>
        </w:rPr>
        <w:t>14. Project Limitations, Assumptions, and Future Roadmap</w:t>
      </w:r>
    </w:p>
    <w:p>
      <w:pPr>
        <w:spacing w:before="0" w:after="100" w:line="276" w:lineRule="auto"/>
      </w:pPr>
      <w:r>
        <w:rPr>
          <w:rFonts w:ascii="Arial" w:hAnsi="Arial"/>
          <w:color w:val="1E293B"/>
          <w:sz w:val="20"/>
        </w:rPr>
        <w:t>In strict adherence to academic and technical integrity, the current implementation scope and limitations are clearly delineated:</w:t>
      </w:r>
    </w:p>
    <w:p>
      <w:pPr>
        <w:spacing w:before="0" w:after="100" w:line="276" w:lineRule="auto"/>
      </w:pPr>
      <w:r>
        <w:rPr>
          <w:rFonts w:ascii="Arial" w:hAnsi="Arial"/>
          <w:color w:val="1E293B"/>
          <w:sz w:val="20"/>
        </w:rPr>
        <w:t>Simulated Core Banking Integration (MockBankProvider): While the portal includes a fully functioning bank verification data model, API routes, and frontend reconciliation interface, live connectivity to real commercial banks' Core Banking Systems (CBS) is simulated via MockBankProvider. This simulation accurately models CBS account lien status and reconciliation, but real-world bank network integration requires official bilateral API tie-ups or RBI/SFMS gateway permissions.</w:t>
      </w:r>
    </w:p>
    <w:p>
      <w:pPr>
        <w:spacing w:before="0" w:after="100" w:line="276" w:lineRule="auto"/>
      </w:pPr>
      <w:r>
        <w:rPr>
          <w:rFonts w:ascii="Arial" w:hAnsi="Arial"/>
          <w:color w:val="1E293B"/>
          <w:sz w:val="20"/>
        </w:rPr>
        <w:t>Synthetic FDR Document Suite: The platform includes a synthetic test document generator designed specifically for hackathon evaluation and officer training. It generates watermarked, fictional test receipts to demonstrate OCR capabilities safely without exposing real bank records.</w:t>
      </w:r>
    </w:p>
    <w:p>
      <w:pPr>
        <w:spacing w:before="0" w:after="100" w:line="276" w:lineRule="auto"/>
      </w:pPr>
      <w:r>
        <w:rPr>
          <w:rFonts w:ascii="Arial" w:hAnsi="Arial"/>
          <w:color w:val="1E293B"/>
          <w:sz w:val="20"/>
        </w:rPr>
        <w:t>Strategic Future Roadmap:</w:t>
      </w:r>
    </w:p>
    <w:p>
      <w:pPr>
        <w:pStyle w:val="ListBullet"/>
        <w:spacing w:before="0" w:after="60" w:line="276" w:lineRule="auto"/>
      </w:pPr>
      <w:r>
        <w:rPr>
          <w:rFonts w:ascii="Arial" w:hAnsi="Arial"/>
          <w:b/>
          <w:color w:val="1E293B"/>
          <w:sz w:val="20"/>
        </w:rPr>
        <w:t xml:space="preserve">A. </w:t>
      </w:r>
      <w:r>
        <w:rPr>
          <w:rFonts w:ascii="Arial" w:hAnsi="Arial"/>
          <w:color w:val="1E293B"/>
          <w:sz w:val="20"/>
        </w:rPr>
        <w:t>Direct SFMS &amp; RBI e-Kuber Integration: Partnering with the National Payments Corporation of India (NPCI) and the Reserve Bank of India to integrate Structured Financial Messaging System (SFMS) APIs for automated real-time bank lien confirmations.</w:t>
      </w:r>
    </w:p>
    <w:p>
      <w:pPr>
        <w:pStyle w:val="ListBullet"/>
        <w:spacing w:before="0" w:after="60" w:line="276" w:lineRule="auto"/>
      </w:pPr>
      <w:r>
        <w:rPr>
          <w:rFonts w:ascii="Arial" w:hAnsi="Arial"/>
          <w:b/>
          <w:color w:val="1E293B"/>
          <w:sz w:val="20"/>
        </w:rPr>
        <w:t xml:space="preserve">B. </w:t>
      </w:r>
      <w:r>
        <w:rPr>
          <w:rFonts w:ascii="Arial" w:hAnsi="Arial"/>
          <w:color w:val="1E293B"/>
          <w:sz w:val="20"/>
        </w:rPr>
        <w:t>DigiLocker Integration: Integrating National DigiLocker APIs to enable institutions to pull verified fixed deposit certificates directly from issuing banks' digital repositories.</w:t>
      </w:r>
    </w:p>
    <w:p>
      <w:pPr>
        <w:pStyle w:val="ListBullet"/>
        <w:spacing w:before="0" w:after="60" w:line="276" w:lineRule="auto"/>
      </w:pPr>
      <w:r>
        <w:rPr>
          <w:rFonts w:ascii="Arial" w:hAnsi="Arial"/>
          <w:b/>
          <w:color w:val="1E293B"/>
          <w:sz w:val="20"/>
        </w:rPr>
        <w:t xml:space="preserve">C. </w:t>
      </w:r>
      <w:r>
        <w:rPr>
          <w:rFonts w:ascii="Arial" w:hAnsi="Arial"/>
          <w:color w:val="1E293B"/>
          <w:sz w:val="20"/>
        </w:rPr>
        <w:t>Aadhaar-Based e-Sign &amp; Digital Signatures: Implementing legally binding e-Sign (Aadhaar / DSC) for formal AICTE sanction letters approving deposit renewals or lien releases.</w:t>
      </w:r>
    </w:p>
    <w:p>
      <w:pPr>
        <w:pStyle w:val="ListBullet"/>
        <w:spacing w:before="0" w:after="60" w:line="276" w:lineRule="auto"/>
      </w:pPr>
      <w:r>
        <w:rPr>
          <w:rFonts w:ascii="Arial" w:hAnsi="Arial"/>
          <w:b/>
          <w:color w:val="1E293B"/>
          <w:sz w:val="20"/>
        </w:rPr>
        <w:t xml:space="preserve">D. </w:t>
      </w:r>
      <w:r>
        <w:rPr>
          <w:rFonts w:ascii="Arial" w:hAnsi="Arial"/>
          <w:color w:val="1E293B"/>
          <w:sz w:val="20"/>
        </w:rPr>
        <w:t>Multilingual Regional Interface: Integrating Government of India Bhashini NLP APIs to provide the portal interface in Hindi and regional languages for wider institutional accessibility.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Smart India Hackathon Submission — All India Council for Technical Education (AICTE)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AICTE FDR Management Portal | Comprehensive Project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