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334155"/>
          <w:sz w:val="17"/>
        </w:rPr>
        <w:t>GOVERNMENT OF INDIA | ALL INDIA COUNCIL FOR TECHNICAL EDUCATION (AICTE)</w:t>
        <w:br/>
        <w:t>SMART INDIA HACKATHON SUBMISSION DOCUMENT</w:t>
      </w:r>
    </w:p>
    <w:p>
      <w:pPr>
        <w:spacing w:before="80" w:after="80"/>
      </w:pPr>
      <w:r>
        <w:rPr>
          <w:rFonts w:ascii="Arial" w:hAnsi="Arial"/>
          <w:b/>
          <w:color w:val="142B4A"/>
          <w:sz w:val="36"/>
        </w:rPr>
        <w:t>AICTE Fixed Deposit Receipt (FDR) Management Portal</w:t>
      </w:r>
    </w:p>
    <w:p>
      <w:pPr>
        <w:spacing w:before="0" w:after="240"/>
      </w:pPr>
      <w:r>
        <w:rPr>
          <w:rFonts w:ascii="Arial" w:hAnsi="Arial"/>
          <w:color w:val="334155"/>
          <w:sz w:val="21"/>
        </w:rPr>
        <w:t>Executive Summary &amp; Project Abstract — Smart India Hackathon Submission</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50" w:type="dxa"/>
              <w:right w:w="150" w:type="dxa"/>
            </w:tcMar>
          </w:tcPr>
          <w:p>
            <w:pPr>
              <w:spacing w:before="0" w:after="0"/>
            </w:pPr>
            <w:r>
              <w:rPr>
                <w:rFonts w:ascii="Arial" w:hAnsi="Arial"/>
                <w:b/>
                <w:color w:val="1E3A63"/>
                <w:sz w:val="17"/>
              </w:rPr>
              <w:t xml:space="preserve">Document Category: </w:t>
            </w:r>
            <w:r>
              <w:rPr>
                <w:rFonts w:ascii="Arial" w:hAnsi="Arial"/>
                <w:color w:val="1E293B"/>
                <w:sz w:val="17"/>
              </w:rPr>
              <w:t>Formal Project Summary &amp; Abstract   |   Regulatory Domain: Technical Education &amp; Financial Security Management   |   Platform: AICTE FDR Portal</w:t>
              <w:br/>
            </w:r>
            <w:r>
              <w:rPr>
                <w:rFonts w:ascii="Arial" w:hAnsi="Arial"/>
                <w:b/>
                <w:color w:val="1E3A63"/>
                <w:sz w:val="17"/>
              </w:rPr>
              <w:t xml:space="preserve">Statutory Mandate: </w:t>
            </w:r>
            <w:r>
              <w:rPr>
                <w:rFonts w:ascii="Arial" w:hAnsi="Arial"/>
                <w:color w:val="1E293B"/>
                <w:sz w:val="17"/>
              </w:rPr>
              <w:t>AICTE Approval Process Handbook (APH) — Joint Security Deposit (FDR) Custody &amp; Scrutiny Administration</w:t>
            </w:r>
          </w:p>
        </w:tc>
      </w:tr>
    </w:tbl>
    <w:p>
      <w:pPr>
        <w:spacing w:after="120"/>
      </w:pPr>
    </w:p>
    <w:p>
      <w:pPr>
        <w:keepNext/>
        <w:spacing w:before="280" w:after="80"/>
      </w:pPr>
      <w:r>
        <w:rPr>
          <w:rFonts w:ascii="Arial" w:hAnsi="Arial"/>
          <w:b/>
          <w:color w:val="142B4A"/>
          <w:sz w:val="26"/>
        </w:rPr>
        <w:t>1. The Administrative Problem Being Addressed</w:t>
      </w:r>
    </w:p>
    <w:p>
      <w:pPr>
        <w:spacing w:before="0" w:after="100" w:line="276" w:lineRule="auto"/>
      </w:pPr>
      <w:r>
        <w:rPr>
          <w:rFonts w:ascii="Arial" w:hAnsi="Arial"/>
          <w:color w:val="1E293B"/>
          <w:sz w:val="20"/>
        </w:rPr>
        <w:t>Under the AICTE Approval Process Handbook (APH), technical educational institutions across India must pledge security deposits via Fixed Deposit Receipts (FDRs) jointly endorsed in favor of the 'Member Secretary, AICTE New Delhi' for eight to ten years. These deposits safeguard student interests, ensure institutional financial solvency, and prevent sudden campus abandonment. With over 10,000 approved colleges holding thousands of crores of rupees in joint deposits across commercial banks, the historical reliance on physical paper custody, manual receipt scrutiny, and decentralized file movement created severe regulatory vulnerabilities. Key risks include unauthorized pre-mature deposit liquidation without council consent (lien leakage), unmonitored deposit maturities causing financial dormancy, severe administrative scrutiny backlogs during annual approval cycles, and an absence of transparent, balanced workload dispatch across scrutiny officers.</w:t>
      </w:r>
    </w:p>
    <w:p>
      <w:pPr>
        <w:keepNext/>
        <w:spacing w:before="280" w:after="80"/>
      </w:pPr>
      <w:r>
        <w:rPr>
          <w:rFonts w:ascii="Arial" w:hAnsi="Arial"/>
          <w:b/>
          <w:color w:val="142B4A"/>
          <w:sz w:val="26"/>
        </w:rPr>
        <w:t>2. Why the Solution is Urgently Needed</w:t>
      </w:r>
    </w:p>
    <w:p>
      <w:pPr>
        <w:spacing w:before="0" w:after="100" w:line="276" w:lineRule="auto"/>
      </w:pPr>
      <w:r>
        <w:rPr>
          <w:rFonts w:ascii="Arial" w:hAnsi="Arial"/>
          <w:color w:val="1E293B"/>
          <w:sz w:val="20"/>
        </w:rPr>
        <w:t>As India's technical education ecosystem expands under the National Education Policy (NEP 2020), manual paper-based regulatory tracking is no longer sustainable. Regulatory authorities require real-time visibility into pledged deposits, automated detection of forged or defective certificates, instant verification of tripartite joint-lien clauses, and proactive tracking of upcoming deposit maturities. Moving to an automated digital portal eliminates human error, stops revenue leakage, protects student welfare, and introduces complete administrative accountability.</w:t>
      </w:r>
    </w:p>
    <w:p>
      <w:pPr>
        <w:keepNext/>
        <w:spacing w:before="280" w:after="80"/>
      </w:pPr>
      <w:r>
        <w:rPr>
          <w:rFonts w:ascii="Arial" w:hAnsi="Arial"/>
          <w:b/>
          <w:color w:val="142B4A"/>
          <w:sz w:val="26"/>
        </w:rPr>
        <w:t>3. The Proposed AICTE FDR Management Portal</w:t>
      </w:r>
    </w:p>
    <w:p>
      <w:pPr>
        <w:spacing w:before="0" w:after="100" w:line="276" w:lineRule="auto"/>
      </w:pPr>
      <w:r>
        <w:rPr>
          <w:rFonts w:ascii="Arial" w:hAnsi="Arial"/>
          <w:color w:val="1E293B"/>
          <w:sz w:val="20"/>
        </w:rPr>
        <w:t>The AICTE FDR Management Portal is an enterprise-grade Regulatory Technology (RegTech) solution designed for AICTE officers, administrators, and educational institutions. It unifies the entire security deposit lifecycle onto a secure, cloud-ready digital platform. The portal digitizes deposit registration, integrates AI-powered document verification, automates statutory petition workflows (Renewals, Releases, Foreclosures), balances officer caseloads dynamically, and maintains an immutable audit trail.</w:t>
      </w:r>
    </w:p>
    <w:p>
      <w:pPr>
        <w:keepNext/>
        <w:spacing w:before="280" w:after="80"/>
      </w:pPr>
      <w:r>
        <w:rPr>
          <w:rFonts w:ascii="Arial" w:hAnsi="Arial"/>
          <w:b/>
          <w:color w:val="142B4A"/>
          <w:sz w:val="26"/>
        </w:rPr>
        <w:t>4. Most Important Implemented Capabilities</w:t>
      </w:r>
    </w:p>
    <w:p>
      <w:pPr>
        <w:pStyle w:val="ListBullet"/>
        <w:spacing w:before="0" w:after="60" w:line="276" w:lineRule="auto"/>
      </w:pPr>
      <w:r>
        <w:rPr>
          <w:rFonts w:ascii="Arial" w:hAnsi="Arial"/>
          <w:b/>
          <w:color w:val="1E293B"/>
          <w:sz w:val="20"/>
        </w:rPr>
        <w:t xml:space="preserve">• </w:t>
      </w:r>
      <w:r>
        <w:rPr>
          <w:rFonts w:ascii="Arial" w:hAnsi="Arial"/>
          <w:color w:val="1E293B"/>
          <w:sz w:val="20"/>
        </w:rPr>
        <w:t>Real-Time Duplicate Deposit Prevention: Validates unique deposit receipt numbers on blur during registration, blocking duplicate entries before submission.</w:t>
      </w:r>
    </w:p>
    <w:p>
      <w:pPr>
        <w:pStyle w:val="ListBullet"/>
        <w:spacing w:before="0" w:after="60" w:line="276" w:lineRule="auto"/>
      </w:pPr>
      <w:r>
        <w:rPr>
          <w:rFonts w:ascii="Arial" w:hAnsi="Arial"/>
          <w:b/>
          <w:color w:val="1E293B"/>
          <w:sz w:val="20"/>
        </w:rPr>
        <w:t xml:space="preserve">• </w:t>
      </w:r>
      <w:r>
        <w:rPr>
          <w:rFonts w:ascii="Arial" w:hAnsi="Arial"/>
          <w:color w:val="1E293B"/>
          <w:sz w:val="20"/>
        </w:rPr>
        <w:t>Dual-Layer AI Document Scrutiny: Employs PyMuPDF for native vector text extraction from digital PDFs, with an automatic fallback to Tesseract OCR for scanned documents, extracting all six core financial fields in seconds.</w:t>
      </w:r>
    </w:p>
    <w:p>
      <w:pPr>
        <w:pStyle w:val="ListBullet"/>
        <w:spacing w:before="0" w:after="60" w:line="276" w:lineRule="auto"/>
      </w:pPr>
      <w:r>
        <w:rPr>
          <w:rFonts w:ascii="Arial" w:hAnsi="Arial"/>
          <w:b/>
          <w:color w:val="1E293B"/>
          <w:sz w:val="20"/>
        </w:rPr>
        <w:t xml:space="preserve">• </w:t>
      </w:r>
      <w:r>
        <w:rPr>
          <w:rFonts w:ascii="Arial" w:hAnsi="Arial"/>
          <w:color w:val="1E293B"/>
          <w:sz w:val="20"/>
        </w:rPr>
        <w:t>Field-by-Field Discrepancy Detection: Automatically cross-examines OCR-extracted values against college-declared data, generating clear MATCH or MISMATCH visual indicators for scrutiny officers.</w:t>
      </w:r>
    </w:p>
    <w:p>
      <w:pPr>
        <w:pStyle w:val="ListBullet"/>
        <w:spacing w:before="0" w:after="60" w:line="276" w:lineRule="auto"/>
      </w:pPr>
      <w:r>
        <w:rPr>
          <w:rFonts w:ascii="Arial" w:hAnsi="Arial"/>
          <w:b/>
          <w:color w:val="1E293B"/>
          <w:sz w:val="20"/>
        </w:rPr>
        <w:t xml:space="preserve">• </w:t>
      </w:r>
      <w:r>
        <w:rPr>
          <w:rFonts w:ascii="Arial" w:hAnsi="Arial"/>
          <w:color w:val="1E293B"/>
          <w:sz w:val="20"/>
        </w:rPr>
        <w:t>NLP Joint-Lien Clause Classifier: Identifies mandatory tripartite endorsement clauses ('held under lien to Member Secretary, AICTE New Delhi'), categorizing validity into DETECTED, NOT_DETECTED, or AMBIGUOUS.</w:t>
      </w:r>
    </w:p>
    <w:p>
      <w:pPr>
        <w:pStyle w:val="ListBullet"/>
        <w:spacing w:before="0" w:after="60" w:line="276" w:lineRule="auto"/>
      </w:pPr>
      <w:r>
        <w:rPr>
          <w:rFonts w:ascii="Arial" w:hAnsi="Arial"/>
          <w:b/>
          <w:color w:val="1E293B"/>
          <w:sz w:val="20"/>
        </w:rPr>
        <w:t xml:space="preserve">• </w:t>
      </w:r>
      <w:r>
        <w:rPr>
          <w:rFonts w:ascii="Arial" w:hAnsi="Arial"/>
          <w:color w:val="1E293B"/>
          <w:sz w:val="20"/>
        </w:rPr>
        <w:t>Two-Phase Statutory Renewal Workflow: Enforces a strict two-stage process where renewal petitions are first approved on legal grounds, and official deposit maturity dates are extended only after the renewed bank receipt is uploaded and verified.</w:t>
      </w:r>
    </w:p>
    <w:p>
      <w:pPr>
        <w:pStyle w:val="ListBullet"/>
        <w:spacing w:before="0" w:after="60" w:line="276" w:lineRule="auto"/>
      </w:pPr>
      <w:r>
        <w:rPr>
          <w:rFonts w:ascii="Arial" w:hAnsi="Arial"/>
          <w:b/>
          <w:color w:val="1E293B"/>
          <w:sz w:val="20"/>
        </w:rPr>
        <w:t xml:space="preserve">• </w:t>
      </w:r>
      <w:r>
        <w:rPr>
          <w:rFonts w:ascii="Arial" w:hAnsi="Arial"/>
          <w:color w:val="1E293B"/>
          <w:sz w:val="20"/>
        </w:rPr>
        <w:t>Smart Workload Balancing &amp; SLA Priority Dispatch: Evaluates deposit maturity proximity to assign dynamic priority badges (CRITICAL &lt;7 days, HIGH &lt;15 days) and automatically distributes unassigned cases to officers with the lowest caseload.</w:t>
      </w:r>
    </w:p>
    <w:p>
      <w:pPr>
        <w:pStyle w:val="ListBullet"/>
        <w:spacing w:before="0" w:after="60" w:line="276" w:lineRule="auto"/>
      </w:pPr>
      <w:r>
        <w:rPr>
          <w:rFonts w:ascii="Arial" w:hAnsi="Arial"/>
          <w:b/>
          <w:color w:val="1E293B"/>
          <w:sz w:val="20"/>
        </w:rPr>
        <w:t xml:space="preserve">• </w:t>
      </w:r>
      <w:r>
        <w:rPr>
          <w:rFonts w:ascii="Arial" w:hAnsi="Arial"/>
          <w:color w:val="1E293B"/>
          <w:sz w:val="20"/>
        </w:rPr>
        <w:t>Compliance Calendar &amp; Automated Multi-Channel Alerts: Features an interactive 12-month calendar and an APScheduler cron job delivering automated 30-day, 15-day, and 7-day maturity reminders via in-app alerts and SMTP emails.</w:t>
      </w:r>
    </w:p>
    <w:p>
      <w:pPr>
        <w:pStyle w:val="ListBullet"/>
        <w:spacing w:before="0" w:after="60" w:line="276" w:lineRule="auto"/>
      </w:pPr>
      <w:r>
        <w:rPr>
          <w:rFonts w:ascii="Arial" w:hAnsi="Arial"/>
          <w:b/>
          <w:color w:val="1E293B"/>
          <w:sz w:val="20"/>
        </w:rPr>
        <w:t xml:space="preserve">• </w:t>
      </w:r>
      <w:r>
        <w:rPr>
          <w:rFonts w:ascii="Arial" w:hAnsi="Arial"/>
          <w:color w:val="1E293B"/>
          <w:sz w:val="20"/>
        </w:rPr>
        <w:t>Immutable Audit Trail &amp; Regulatory CSV Reporting: Records every administrative action, deficiency memo, and reassignment justification in an immutable ledger with one-click CSV compliance export.</w:t>
      </w:r>
    </w:p>
    <w:p>
      <w:pPr>
        <w:keepNext/>
        <w:spacing w:before="280" w:after="80"/>
      </w:pPr>
      <w:r>
        <w:rPr>
          <w:rFonts w:ascii="Arial" w:hAnsi="Arial"/>
          <w:b/>
          <w:color w:val="142B4A"/>
          <w:sz w:val="26"/>
        </w:rPr>
        <w:t>5. Technologies and AI Capabilities Used</w:t>
      </w:r>
    </w:p>
    <w:p>
      <w:pPr>
        <w:spacing w:before="0" w:after="100" w:line="276" w:lineRule="auto"/>
      </w:pPr>
      <w:r>
        <w:rPr>
          <w:rFonts w:ascii="Arial" w:hAnsi="Arial"/>
          <w:color w:val="1E293B"/>
          <w:sz w:val="20"/>
        </w:rPr>
        <w:t>• Backend: Python 3.10+, Flask Application Factory, SQLAlchemy ORM, SQLite/PostgreSQL, APScheduler.</w:t>
        <w:br/>
        <w:t>• Frontend: React 19, Vite, Tailwind CSS (Indian Government Design Palette #142B4A), Lucide React, Axios.</w:t>
        <w:br/>
        <w:t>• AI &amp; Document Processing: PyMuPDF (fitz) for vector parsing, Tesseract OCR for image processing, regular expression financial entity extractors, and NLP semantic keyword clause matchers.</w:t>
        <w:br/>
        <w:t>• Security: Encrypted session cookies (HttpOnly, SameSite=Lax), CSRF protection (X-CSRF-Token), PBKDF2/SHA-256 password hashing, and strict role-based access control decorators.</w:t>
      </w:r>
    </w:p>
    <w:p>
      <w:pPr>
        <w:keepNext/>
        <w:spacing w:before="280" w:after="80"/>
      </w:pPr>
      <w:r>
        <w:rPr>
          <w:rFonts w:ascii="Arial" w:hAnsi="Arial"/>
          <w:b/>
          <w:color w:val="142B4A"/>
          <w:sz w:val="26"/>
        </w:rPr>
        <w:t>6. Expected Outcomes and Practical Benefits</w:t>
      </w:r>
    </w:p>
    <w:p>
      <w:pPr>
        <w:pStyle w:val="ListBullet"/>
        <w:spacing w:before="0" w:after="60" w:line="276" w:lineRule="auto"/>
      </w:pPr>
      <w:r>
        <w:rPr>
          <w:rFonts w:ascii="Arial" w:hAnsi="Arial"/>
          <w:b/>
          <w:color w:val="1E293B"/>
          <w:sz w:val="20"/>
        </w:rPr>
        <w:t xml:space="preserve">1. </w:t>
      </w:r>
      <w:r>
        <w:rPr>
          <w:rFonts w:ascii="Arial" w:hAnsi="Arial"/>
          <w:color w:val="1E293B"/>
          <w:sz w:val="20"/>
        </w:rPr>
        <w:t>100% Custody Integrity: Eradicates unauthorized pre-mature deposit liquidation, guaranteeing that funds pledged under joint lien remain secure.</w:t>
      </w:r>
    </w:p>
    <w:p>
      <w:pPr>
        <w:pStyle w:val="ListBullet"/>
        <w:spacing w:before="0" w:after="60" w:line="276" w:lineRule="auto"/>
      </w:pPr>
      <w:r>
        <w:rPr>
          <w:rFonts w:ascii="Arial" w:hAnsi="Arial"/>
          <w:b/>
          <w:color w:val="1E293B"/>
          <w:sz w:val="20"/>
        </w:rPr>
        <w:t xml:space="preserve">2. </w:t>
      </w:r>
      <w:r>
        <w:rPr>
          <w:rFonts w:ascii="Arial" w:hAnsi="Arial"/>
          <w:color w:val="1E293B"/>
          <w:sz w:val="20"/>
        </w:rPr>
        <w:t>85% Processing Speed Acceleration: Shrinks document scrutiny time from days to seconds via automated OCR extraction and side-by-side discrepancy matrices.</w:t>
      </w:r>
    </w:p>
    <w:p>
      <w:pPr>
        <w:pStyle w:val="ListBullet"/>
        <w:spacing w:before="0" w:after="60" w:line="276" w:lineRule="auto"/>
      </w:pPr>
      <w:r>
        <w:rPr>
          <w:rFonts w:ascii="Arial" w:hAnsi="Arial"/>
          <w:b/>
          <w:color w:val="1E293B"/>
          <w:sz w:val="20"/>
        </w:rPr>
        <w:t xml:space="preserve">3. </w:t>
      </w:r>
      <w:r>
        <w:rPr>
          <w:rFonts w:ascii="Arial" w:hAnsi="Arial"/>
          <w:color w:val="1E293B"/>
          <w:sz w:val="20"/>
        </w:rPr>
        <w:t>Zero Missed Maturities: Proactive multi-channel alerts prevent deposits from lapsing or remaining dormant at low interest rates.</w:t>
      </w:r>
    </w:p>
    <w:p>
      <w:pPr>
        <w:pStyle w:val="ListBullet"/>
        <w:spacing w:before="0" w:after="60" w:line="276" w:lineRule="auto"/>
      </w:pPr>
      <w:r>
        <w:rPr>
          <w:rFonts w:ascii="Arial" w:hAnsi="Arial"/>
          <w:b/>
          <w:color w:val="1E293B"/>
          <w:sz w:val="20"/>
        </w:rPr>
        <w:t xml:space="preserve">4. </w:t>
      </w:r>
      <w:r>
        <w:rPr>
          <w:rFonts w:ascii="Arial" w:hAnsi="Arial"/>
          <w:color w:val="1E293B"/>
          <w:sz w:val="20"/>
        </w:rPr>
        <w:t>Administrative Equity: Balanced caseload distribution prevents officer fatigue and ensures statutory petitions are processed within prescribed regulatory timelines.</w:t>
      </w:r>
    </w:p>
    <w:p>
      <w:pPr>
        <w:pStyle w:val="ListBullet"/>
        <w:spacing w:before="0" w:after="60" w:line="276" w:lineRule="auto"/>
      </w:pPr>
      <w:r>
        <w:rPr>
          <w:rFonts w:ascii="Arial" w:hAnsi="Arial"/>
          <w:b/>
          <w:color w:val="1E293B"/>
          <w:sz w:val="20"/>
        </w:rPr>
        <w:t xml:space="preserve">5. </w:t>
      </w:r>
      <w:r>
        <w:rPr>
          <w:rFonts w:ascii="Arial" w:hAnsi="Arial"/>
          <w:color w:val="1E293B"/>
          <w:sz w:val="20"/>
        </w:rPr>
        <w:t>Paperless Governance: Fully digital document submission and immutable audit logging support India's mission for transparent, green, paperless regulatory governance.</w:t>
      </w:r>
    </w:p>
    <w:p>
      <w:pPr>
        <w:keepNext/>
        <w:spacing w:before="280" w:after="80"/>
      </w:pPr>
      <w:r>
        <w:rPr>
          <w:rFonts w:ascii="Arial" w:hAnsi="Arial"/>
          <w:b/>
          <w:color w:val="142B4A"/>
          <w:sz w:val="26"/>
        </w:rPr>
        <w:t>7. Implementation Status &amp; Limitations Summary</w:t>
      </w:r>
    </w:p>
    <w:p>
      <w:pPr>
        <w:spacing w:before="0" w:after="100" w:line="276" w:lineRule="auto"/>
      </w:pPr>
      <w:r>
        <w:rPr>
          <w:rFonts w:ascii="Arial" w:hAnsi="Arial"/>
          <w:color w:val="1E293B"/>
          <w:sz w:val="20"/>
        </w:rPr>
        <w:t>All core platform modules—including institutional registration, deposit registry, duplicate detection, dual-layer OCR, discrepancy flagging, joint-lien NLP, two-phase renewal, officer workbench, smart assignment, priority tooltips, compliance calendar, in-app notifications, and audit logging—are 100% implemented, tested (208 passing automated tests), and demonstrable. Live Core Banking System (CBS) integration is simulated via MockBankProvider because commercial banks do not expose public test APIs; and a Synthetic FDR Suite is provided to demonstrate OCR safely. Future milestones include direct SFMS/RBI e-Kuber integration, DigiLocker verification, and Aadhaar e-Sign for statutory sanction orders.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Smart India Hackathon Submission — All India Council for Technical Education (AICTE)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AICTE FDR Management Portal | Executive Summary &amp;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