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42B4A"/>
          <w:sz w:val="22"/>
        </w:rPr>
        <w:t>SIH 2026 — RESEARCH AND REFERENCES (CONCISE SLIDE TABLE)</w:t>
      </w:r>
    </w:p>
    <w:p>
      <w:r>
        <w:rPr>
          <w:rFonts w:ascii="Arial" w:hAnsi="Arial"/>
          <w:i/>
          <w:color w:val="64748B"/>
          <w:sz w:val="17"/>
        </w:rPr>
        <w:t>Click the table selector [✛] at top-left, press Ctrl+C, then paste directly into Slide 6 in PowerPoint.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Category / Domain</w:t>
            </w:r>
          </w:p>
        </w:tc>
        <w:tc>
          <w:tcPr>
            <w:tcW w:type="dxa" w:w="3888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Official References (Clickable Links)</w:t>
            </w:r>
          </w:p>
        </w:tc>
        <w:tc>
          <w:tcPr>
            <w:tcW w:type="dxa" w:w="4320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Relevance to Project (Concise Summary)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42B4A"/>
                <w:sz w:val="17"/>
              </w:rPr>
              <w:t>Statutory &amp; Regulatory Mandates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hyperlink r:id="rId9">
              <w:r>
                <w:rPr>
                  <w:color w:val="1D4ED8"/>
                  <w:u w:val="single"/>
                </w:rPr>
                <w:t>🔗 AICTE Approval Process Handbook (APH)</w:t>
              </w:r>
            </w:hyperlink>
          </w:p>
          <w:p>
            <w:pPr>
              <w:spacing w:before="80" w:after="0"/>
            </w:pPr>
            <w:hyperlink r:id="rId10">
              <w:r>
                <w:rPr>
                  <w:color w:val="1D4ED8"/>
                  <w:u w:val="single"/>
                </w:rPr>
                <w:t>🔗 RBI Term Deposit &amp; Lien Marking Directives</w:t>
              </w:r>
            </w:hyperlink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Defines joint FDR tenure (8–10 yrs) and tripartite lien marking in favor of AICTE.</w:t>
              <w:br/>
              <w:t>• Governs statutory renewal, release, and pre-mature encashment rules.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42B4A"/>
                <w:sz w:val="17"/>
              </w:rPr>
              <w:t>Document AI &amp; OCR Pipeline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hyperlink r:id="rId11">
              <w:r>
                <w:rPr>
                  <w:color w:val="1D4ED8"/>
                  <w:u w:val="single"/>
                </w:rPr>
                <w:t>🔗 PyMuPDF (fitz) Vector Documentation</w:t>
              </w:r>
            </w:hyperlink>
          </w:p>
          <w:p>
            <w:pPr>
              <w:spacing w:before="80" w:after="0"/>
            </w:pPr>
            <w:hyperlink r:id="rId12">
              <w:r>
                <w:rPr>
                  <w:color w:val="1D4ED8"/>
                  <w:u w:val="single"/>
                </w:rPr>
                <w:t>🔗 Google Tesseract OCR Engine (LSTM)</w:t>
              </w:r>
            </w:hyperlink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Direct vector text extraction from digital e-FDR PDFs with zero raster loss.</w:t>
              <w:br/>
              <w:t>• Tesseract fallback for scanned paper receipts; powers 6-field matching &amp; joint-lien NLP.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42B4A"/>
                <w:sz w:val="17"/>
              </w:rPr>
              <w:t>Cybersecurity &amp; Governance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hyperlink r:id="rId13">
              <w:r>
                <w:rPr>
                  <w:color w:val="1D4ED8"/>
                  <w:u w:val="single"/>
                </w:rPr>
                <w:t>🔗 OWASP Session Management Standards</w:t>
              </w:r>
            </w:hyperlink>
          </w:p>
          <w:p>
            <w:pPr>
              <w:spacing w:before="80" w:after="0"/>
            </w:pPr>
            <w:hyperlink r:id="rId14">
              <w:r>
                <w:rPr>
                  <w:color w:val="1D4ED8"/>
                  <w:u w:val="single"/>
                </w:rPr>
                <w:t>🔗 NIST Digital Identity Guidelines (SP 800-63B)</w:t>
              </w:r>
            </w:hyperlink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HttpOnly / SameSite=Lax cookie governance (aicte_session) &amp; CSRF token shield.</w:t>
              <w:br/>
              <w:t>• Strict Role-Based Access Control (RBAC) and immutable regulatory audit logging.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42B4A"/>
                <w:sz w:val="17"/>
              </w:rPr>
              <w:t>Govt Standards &amp; Task Automation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hyperlink r:id="rId15">
              <w:r>
                <w:rPr>
                  <w:color w:val="1D4ED8"/>
                  <w:u w:val="single"/>
                </w:rPr>
                <w:t>🔗 Guidelines for Indian Govt Websites (GIGW 3.0)</w:t>
              </w:r>
            </w:hyperlink>
          </w:p>
          <w:p>
            <w:pPr>
              <w:spacing w:before="80" w:after="0"/>
            </w:pPr>
            <w:hyperlink r:id="rId16">
              <w:r>
                <w:rPr>
                  <w:color w:val="1D4ED8"/>
                  <w:u w:val="single"/>
                </w:rPr>
                <w:t>🔗 APScheduler Cron Architecture</w:t>
              </w:r>
            </w:hyperlink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GIGW 3.0 compliant UI with WCAG 2.1 AA accessibility and AICTE Navy palette.</w:t>
              <w:br/>
              <w:t>• Automated daily cron (00:00 UTC) executing proactive 30/15/7-day maturity reminders.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icte-india.org/bureaus/approval/approval-process-handbook-aph" TargetMode="External"/><Relationship Id="rId10" Type="http://schemas.openxmlformats.org/officeDocument/2006/relationships/hyperlink" Target="https://www.rbi.org.in" TargetMode="External"/><Relationship Id="rId11" Type="http://schemas.openxmlformats.org/officeDocument/2006/relationships/hyperlink" Target="https://pymupdf.readthedocs.io/" TargetMode="External"/><Relationship Id="rId12" Type="http://schemas.openxmlformats.org/officeDocument/2006/relationships/hyperlink" Target="https://github.com/tesseract-ocr/tesseract" TargetMode="External"/><Relationship Id="rId13" Type="http://schemas.openxmlformats.org/officeDocument/2006/relationships/hyperlink" Target="https://cheatsheetseries.owasp.org/" TargetMode="External"/><Relationship Id="rId14" Type="http://schemas.openxmlformats.org/officeDocument/2006/relationships/hyperlink" Target="https://pages.nist.gov/800-63-3/" TargetMode="External"/><Relationship Id="rId15" Type="http://schemas.openxmlformats.org/officeDocument/2006/relationships/hyperlink" Target="https://guidelines.gov.in/" TargetMode="External"/><Relationship Id="rId16" Type="http://schemas.openxmlformats.org/officeDocument/2006/relationships/hyperlink" Target="https://apscheduler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