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42B4A"/>
          <w:sz w:val="24"/>
        </w:rPr>
        <w:t>SIH 2026 — RESEARCH AND REFERENCES TABLE (COPY &amp; PASTE INTO POWERPOINT)</w:t>
      </w:r>
    </w:p>
    <w:p>
      <w:r>
        <w:rPr>
          <w:rFonts w:ascii="Arial" w:hAnsi="Arial"/>
          <w:i/>
          <w:color w:val="475569"/>
          <w:sz w:val="18"/>
        </w:rPr>
        <w:t>Tip: Click the small cross [✛] icon at the top-left of this table in Microsoft Word to select the entire table, press Ctrl+C, then go to PowerPoint and press Ctrl+V.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2592"/>
            <w:shd w:fill="142B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Category / Research Domain</w:t>
            </w:r>
          </w:p>
        </w:tc>
        <w:tc>
          <w:tcPr>
            <w:tcW w:type="dxa" w:w="3744"/>
            <w:shd w:fill="142B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Official Reference &amp; Source Link</w:t>
            </w:r>
          </w:p>
        </w:tc>
        <w:tc>
          <w:tcPr>
            <w:tcW w:type="dxa" w:w="4464"/>
            <w:shd w:fill="142B4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9"/>
              </w:rPr>
              <w:t>Key Relevance &amp; Implementation in Our Project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42B4A"/>
                <w:sz w:val="17"/>
              </w:rPr>
              <w:t>Statutory &amp; Regulatory Mandates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AICTE Approval Process Handbook (APH)</w:t>
              <w:br/>
              <w:t>https://www.aicte-india.org/bureaus/approval/approval-process-handbook-aph</w:t>
              <w:br/>
              <w:br/>
              <w:t>RBI Master Directions on Term Deposits &amp; Lien Marking</w:t>
              <w:br/>
              <w:t>https://www.rbi.org.in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• Defines statutory obligation for technical colleges to pledge joint FDRs in favor of Member Secretary, AICTE New Delhi.</w:t>
              <w:br/>
              <w:t>• Establishes statutory lock-in tenures (8–10 years) and joint-lien clauses to prevent unauthorized liquidation.</w:t>
              <w:br/>
              <w:t>• Grounded our two-phase renewal and release petition lifecycles in real regulatory rules.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42B4A"/>
                <w:sz w:val="17"/>
              </w:rPr>
              <w:t>Document AI &amp; OCR Text Extraction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PyMuPDF (fitz) Architecture &amp; Documentation</w:t>
              <w:br/>
              <w:t>https://pymupdf.readthedocs.io/</w:t>
              <w:br/>
              <w:br/>
              <w:t>Google Tesseract OCR Engine (LSTM-based)</w:t>
              <w:br/>
              <w:t>https://github.com/tesseract-ocr/tesseract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• PyMuPDF: Enables direct vector stream text extraction from digital banking e-FDR PDFs with 100% character accuracy without rasterization.</w:t>
              <w:br/>
              <w:t>• Tesseract OCR: Serves as automatic fallback engine for physical paper scans and bitmap images.</w:t>
              <w:br/>
              <w:t>• Powers our 6-field extraction (FDR#, Amount, Dates) and NLP joint-lien clause recognition.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42B4A"/>
                <w:sz w:val="17"/>
              </w:rPr>
              <w:t>Cybersecurity &amp; Session Governance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OWASP Top 10 &amp; Session Management Cheat Sheet</w:t>
              <w:br/>
              <w:t>https://cheatsheetseries.owasp.org/</w:t>
              <w:br/>
              <w:br/>
              <w:t>NIST SP 800-63B Digital Identity Guidelines</w:t>
              <w:br/>
              <w:t>https://pages.nist.gov/800-63-3/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• Adopted HttpOnly and SameSite=Lax cookie architecture (aicte_session) to prevent client-side XSS session hijacking.</w:t>
              <w:br/>
              <w:t>• Enforced per-session CSRF token validation (X-CSRF-Token) on all state-changing endpoints.</w:t>
              <w:br/>
              <w:t>• Implemented cryptographic PBKDF2/SHA-256 password hashing and strict Role-Based Access Control (RBAC).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42B4A"/>
                <w:sz w:val="17"/>
              </w:rPr>
              <w:t>Government Design Standards &amp; Auditing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Guidelines for Indian Government Websites (GIGW 3.0) — MeitY</w:t>
              <w:br/>
              <w:t>https://guidelines.gov.in/</w:t>
              <w:br/>
              <w:br/>
              <w:t>W3C Web Content Accessibility Guidelines (WCAG 2.1 AA)</w:t>
              <w:br/>
              <w:t>https://www.w3.org/WAI/standards-guidelines/wcag/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• Guided our UI/UX design: official Government of India / AICTE Deep Navy (#142B4A) palette and accessible high-contrast cards.</w:t>
              <w:br/>
              <w:t>• Enforced non-repudiation through an append-only, immutable regulatory audit trail (audit_logs) tracking actor, action, timestamp, and entity.</w:t>
              <w:br/>
              <w:t>• Standardized CSV reporting for parliamentary and vigilance compliance.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42B4A"/>
                <w:sz w:val="17"/>
              </w:rPr>
              <w:t>Asynchronous Scheduling &amp; SLA Management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APScheduler (Advanced Python Scheduler)</w:t>
              <w:br/>
              <w:t>https://apscheduler.readthedocs.io/</w:t>
              <w:br/>
              <w:br/>
              <w:t>IEEE Transactions on RegTech Automation &amp; Workload Balancing</w:t>
              <w:br/>
              <w:t>https://ieeexplore.ieee.org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color w:val="1E293B"/>
                <w:sz w:val="17"/>
              </w:rPr>
              <w:t>• Implemented daily background cron daemons (running at 00:00 UTC) for automated 30-day, 15-day, and 7-day maturity scans.</w:t>
              <w:br/>
              <w:t>• Designed our dynamic priority engine (CRITICAL &lt;7d, HIGH &lt;15d) and lowest-caseload auto-assignment algorithm based on established queuing theory.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