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8745" distR="118110" simplePos="0" locked="0" layoutInCell="0" allowOverlap="1" relativeHeight="2">
                <wp:simplePos x="0" y="0"/>
                <wp:positionH relativeFrom="column">
                  <wp:posOffset>449580</wp:posOffset>
                </wp:positionH>
                <wp:positionV relativeFrom="paragraph">
                  <wp:posOffset>1575435</wp:posOffset>
                </wp:positionV>
                <wp:extent cx="4584065" cy="10198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240" cy="1019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</w:tblPr>
                            <w:tblGrid>
                              <w:gridCol w:w="7220"/>
                            </w:tblGrid>
                            <w:tr>
                              <w:trPr/>
                              <w:tc>
                                <w:tcPr>
                                  <w:tcW w:w="7220" w:type="dxa"/>
                                  <w:tcBorders>
                                    <w:left w:val="single" w:sz="12" w:space="0" w:color="156082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 xml:space="preserve"> FILLIN ""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Stručni kurs Razvoj bezbednog softvera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220" w:type="dxa"/>
                                  <w:tcBorders>
                                    <w:left w:val="single" w:sz="12" w:space="0" w:color="156082"/>
                                  </w:tcBorders>
                                  <w:tcMar>
                                    <w:top w:w="0" w:type="dxa"/>
                                    <w:left w:w="144" w:type="dxa"/>
                                    <w:bottom w:w="0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spacing w:lineRule="auto" w:line="216"/>
                                    <w:rPr/>
                                  </w:pP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 xml:space="preserve"> FILLIN ""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Izveštaj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220" w:type="dxa"/>
                                  <w:tcBorders>
                                    <w:left w:val="single" w:sz="12" w:space="0" w:color="156082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 xml:space="preserve"> FILLIN ""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Pronađene ranjivosti u projektu “RealBookStore”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35.4pt;margin-top:124.05pt;width:360.9pt;height:80.2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</w:tblPr>
                      <w:tblGrid>
                        <w:gridCol w:w="7220"/>
                      </w:tblGrid>
                      <w:tr>
                        <w:trPr/>
                        <w:tc>
                          <w:tcPr>
                            <w:tcW w:w="7220" w:type="dxa"/>
                            <w:tcBorders>
                              <w:left w:val="single" w:sz="12" w:space="0" w:color="156082"/>
                            </w:tcBorders>
                          </w:tcPr>
                          <w:p>
                            <w:pPr>
                              <w:pStyle w:val="NoSpacing"/>
                              <w:widowControl w:val="false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Stručni kurs Razvoj bezbednog softvera</w:t>
                            </w:r>
                            <w:r>
                              <w:rPr/>
                              <w:fldChar w:fldCharType="end"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220" w:type="dxa"/>
                            <w:tcBorders>
                              <w:left w:val="single" w:sz="12" w:space="0" w:color="156082"/>
                            </w:tcBorders>
                            <w:tcMar>
                              <w:top w:w="0" w:type="dxa"/>
                              <w:left w:w="144" w:type="dxa"/>
                              <w:bottom w:w="0" w:type="dxa"/>
                            </w:tcMar>
                          </w:tcPr>
                          <w:p>
                            <w:pPr>
                              <w:pStyle w:val="NoSpacing"/>
                              <w:widowControl w:val="false"/>
                              <w:spacing w:lineRule="auto" w:line="216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Izveštaj</w:t>
                            </w:r>
                            <w:r>
                              <w:rPr/>
                              <w:fldChar w:fldCharType="end"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220" w:type="dxa"/>
                            <w:tcBorders>
                              <w:left w:val="single" w:sz="12" w:space="0" w:color="156082"/>
                            </w:tcBorders>
                          </w:tcPr>
                          <w:p>
                            <w:pPr>
                              <w:pStyle w:val="NoSpacing"/>
                              <w:widowControl w:val="false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Pronađene ranjivosti u projektu “RealBookStore”</w:t>
                            </w:r>
                            <w:r>
                              <w:rPr/>
                              <w:fldChar w:fldCharType="end"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8745" distR="118110" simplePos="0" locked="0" layoutInCell="0" allowOverlap="1" relativeHeight="4">
                <wp:simplePos x="0" y="0"/>
                <wp:positionH relativeFrom="column">
                  <wp:posOffset>440055</wp:posOffset>
                </wp:positionH>
                <wp:positionV relativeFrom="paragraph">
                  <wp:posOffset>6783705</wp:posOffset>
                </wp:positionV>
                <wp:extent cx="4412615" cy="108140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520" cy="1081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</w:tblPr>
                            <w:tblGrid>
                              <w:gridCol w:w="6950"/>
                            </w:tblGrid>
                            <w:tr>
                              <w:trPr/>
                              <w:tc>
                                <w:tcPr>
                                  <w:tcW w:w="6950" w:type="dxa"/>
                                  <w:tcBorders/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Ana Arsić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color w:val="156082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sdt>
                                    <w:sdtPr>
                                      <w:date>
                                        <w:dateFormat w:val="MMM D, 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>
                                        <w:rPr>
                                          <w:color w:val="156082"/>
                                          <w:sz w:val="28"/>
                                          <w:szCs w:val="28"/>
                                        </w:rPr>
                                      </w:r>
                                      <w:r>
                                        <w:rPr>
                                          <w:color w:val="156082"/>
                                          <w:sz w:val="28"/>
                                          <w:szCs w:val="28"/>
                                        </w:rPr>
                                        <w:t>ug 22, 25</w:t>
                                      </w:r>
                                      <w:r>
                                        <w:rPr>
                                          <w:color w:val="156082"/>
                                          <w:sz w:val="28"/>
                                          <w:szCs w:val="28"/>
                                        </w:rPr>
                                      </w:r>
                                    </w:sdtContent>
                                  </w:sdt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color w:val="156082"/>
                                    </w:rPr>
                                  </w:pPr>
                                  <w:r>
                                    <w:rPr>
                                      <w:color w:val="15608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77000</wp14:pctWidth>
                </wp14:sizeRelH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34.65pt;margin-top:534.15pt;width:347.4pt;height:85.1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</w:tblPr>
                      <w:tblGrid>
                        <w:gridCol w:w="6950"/>
                      </w:tblGrid>
                      <w:tr>
                        <w:trPr/>
                        <w:tc>
                          <w:tcPr>
                            <w:tcW w:w="6950" w:type="dxa"/>
                            <w:tcBorders/>
                          </w:tcPr>
                          <w:p>
                            <w:pPr>
                              <w:pStyle w:val="NoSpacing"/>
                              <w:widowControl w:val="false"/>
                              <w:rPr/>
                            </w:pPr>
                            <w:r>
                              <w:rPr/>
                              <w:t>Ana Arsić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/>
                            </w:pPr>
                            <w:r>
                              <w:rPr>
                                <w:color w:val="156082"/>
                                <w:sz w:val="28"/>
                                <w:szCs w:val="28"/>
                              </w:rPr>
                              <w:t>A</w:t>
                            </w:r>
                            <w:sdt>
                              <w:sdtPr>
                                <w:date>
                                  <w:dateFormat w:val="MMM D, 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156082"/>
                                    <w:sz w:val="28"/>
                                    <w:szCs w:val="28"/>
                                  </w:rPr>
                                </w:r>
                                <w:r>
                                  <w:rPr>
                                    <w:color w:val="156082"/>
                                    <w:sz w:val="28"/>
                                    <w:szCs w:val="28"/>
                                  </w:rPr>
                                  <w:t>ug 22, 25</w:t>
                                </w:r>
                                <w:r>
                                  <w:rPr>
                                    <w:color w:val="156082"/>
                                    <w:sz w:val="28"/>
                                    <w:szCs w:val="28"/>
                                  </w:rPr>
                                </w:r>
                              </w:sdtContent>
                            </w:sdt>
                          </w:p>
                          <w:p>
                            <w:pPr>
                              <w:pStyle w:val="Normal"/>
                              <w:widowControl w:val="false"/>
                              <w:spacing w:before="0" w:after="160"/>
                              <w:rPr>
                                <w:color w:val="156082"/>
                              </w:rPr>
                            </w:pPr>
                            <w:r>
                              <w:rPr>
                                <w:color w:val="15608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widowControl w:val="false"/>
        <w:rPr/>
      </w:pPr>
      <w:r>
        <w:rPr/>
      </w:r>
    </w:p>
    <w:p>
      <w:pPr>
        <w:pStyle w:val="Heading1"/>
        <w:ind w:left="0" w:hanging="0"/>
        <w:rPr/>
      </w:pPr>
      <w:bookmarkStart w:id="0" w:name="_Toc160050508"/>
      <w:r>
        <w:rPr/>
        <w:t>Istorija izmena</w:t>
      </w:r>
      <w:bookmarkEnd w:id="0"/>
    </w:p>
    <w:tbl>
      <w:tblPr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3"/>
        <w:gridCol w:w="2255"/>
        <w:gridCol w:w="2867"/>
      </w:tblGrid>
      <w:tr>
        <w:trPr/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fill="156082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fill="156082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5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fill="156082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86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fill="156082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/>
        <w:tc>
          <w:tcPr>
            <w:tcW w:w="2254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  <w:t>22.08.2025.</w:t>
            </w:r>
          </w:p>
        </w:tc>
        <w:tc>
          <w:tcPr>
            <w:tcW w:w="2255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  <w:t>Ana Arsić</w:t>
            </w:r>
          </w:p>
        </w:tc>
        <w:tc>
          <w:tcPr>
            <w:tcW w:w="2867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b/>
                <w:bCs/>
                <w:kern w:val="2"/>
                <w:sz w:val="24"/>
                <w:szCs w:val="24"/>
                <w:lang w:val="en-US" w:eastAsia="ja-JP" w:bidi="ar-SA"/>
              </w:rPr>
              <w:t>1.1</w:t>
            </w:r>
          </w:p>
        </w:tc>
        <w:tc>
          <w:tcPr>
            <w:tcW w:w="225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  <w:t>22.08.2025.</w:t>
            </w:r>
          </w:p>
        </w:tc>
        <w:tc>
          <w:tcPr>
            <w:tcW w:w="2255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  <w:t>Ana Arsić</w:t>
            </w:r>
          </w:p>
        </w:tc>
        <w:tc>
          <w:tcPr>
            <w:tcW w:w="2867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  <w:t>SQL injection/XSS</w:t>
            </w:r>
          </w:p>
        </w:tc>
      </w:tr>
      <w:tr>
        <w:trPr/>
        <w:tc>
          <w:tcPr>
            <w:tcW w:w="2254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b/>
                <w:bCs/>
                <w:kern w:val="2"/>
                <w:sz w:val="24"/>
                <w:szCs w:val="24"/>
                <w:lang w:val="en-US" w:eastAsia="ja-JP" w:bidi="ar-SA"/>
              </w:rPr>
              <w:t>1.1</w:t>
            </w:r>
          </w:p>
        </w:tc>
        <w:tc>
          <w:tcPr>
            <w:tcW w:w="225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  <w:t>22.08.2025</w:t>
            </w:r>
          </w:p>
        </w:tc>
        <w:tc>
          <w:tcPr>
            <w:tcW w:w="2255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  <w:t>Ana Arsić</w:t>
            </w:r>
          </w:p>
        </w:tc>
        <w:tc>
          <w:tcPr>
            <w:tcW w:w="2867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  <w:t>Cross-site scripting</w:t>
            </w:r>
          </w:p>
        </w:tc>
      </w:tr>
      <w:tr>
        <w:trPr/>
        <w:tc>
          <w:tcPr>
            <w:tcW w:w="2254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5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867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5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867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5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867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5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867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rPr/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Toc160050508">
            <w:r>
              <w:rPr>
                <w:rStyle w:val="IndexLink"/>
              </w:rPr>
              <w:t>Istorija izmena</w:t>
            </w:r>
          </w:hyperlink>
          <w:hyperlink w:anchor="_Toc1600505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rStyle w:val="IndexLink"/>
              </w:rPr>
              <w:t>Uvod</w:t>
            </w:r>
          </w:hyperlink>
          <w:hyperlink w:anchor="_Toc1600505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rStyle w:val="IndexLink"/>
              </w:rPr>
              <w:t>O veb aplikaciji</w:t>
            </w:r>
          </w:hyperlink>
          <w:hyperlink w:anchor="_Toc1600505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rStyle w:val="IndexLink"/>
              </w:rPr>
              <w:t>Kratak pregled rezultata testiranja</w:t>
            </w:r>
          </w:hyperlink>
          <w:hyperlink w:anchor="_Toc1600505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rStyle w:val="IndexLink"/>
              </w:rPr>
              <w:t>SQL injection</w:t>
            </w:r>
          </w:hyperlink>
          <w:hyperlink w:anchor="_Toc1600505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rStyle w:val="IndexLink"/>
              </w:rPr>
              <w:t>Napad: Ubacivanje novog usera u tabelu “persons” (SQL injection)</w:t>
            </w:r>
          </w:hyperlink>
          <w:hyperlink w:anchor="_Toc1600505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rStyle w:val="IndexLink"/>
              </w:rPr>
              <w:t>Metod napada:</w:t>
            </w:r>
          </w:hyperlink>
          <w:hyperlink w:anchor="_Toc1600505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rStyle w:val="IndexLink"/>
              </w:rPr>
              <w:t>Predlog odbrane:</w:t>
            </w:r>
          </w:hyperlink>
          <w:hyperlink w:anchor="_Toc1600505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rStyle w:val="IndexLink"/>
              </w:rPr>
              <w:t>Cross-site scripting</w:t>
            </w:r>
          </w:hyperlink>
          <w:hyperlink w:anchor="_Toc1600505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rStyle w:val="IndexLink"/>
              </w:rPr>
              <w:t>Napad: Ubacivanje novog usera u tabelu “persons”</w:t>
            </w:r>
          </w:hyperlink>
          <w:hyperlink w:anchor="_Toc1600505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rStyle w:val="IndexLink"/>
              </w:rPr>
              <w:t>Metod napada:</w:t>
            </w:r>
          </w:hyperlink>
          <w:hyperlink w:anchor="_Toc1600505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rStyle w:val="IndexLink"/>
              </w:rPr>
              <w:t>Predlog odbrane:</w:t>
            </w:r>
          </w:hyperlink>
          <w:hyperlink w:anchor="_Toc1600505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rStyle w:val="IndexLink"/>
              </w:rPr>
              <w:t>Zaključak</w:t>
            </w:r>
          </w:hyperlink>
          <w:hyperlink w:anchor="_Toc1600505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  <w:r>
        <w:br w:type="page"/>
      </w:r>
    </w:p>
    <w:p>
      <w:pPr>
        <w:pStyle w:val="Heading1"/>
        <w:ind w:left="0" w:hanging="0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ind w:left="0" w:hanging="0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Detaljan pregled podataka korisnika.</w:t>
      </w:r>
    </w:p>
    <w:p>
      <w:pPr>
        <w:pStyle w:val="Heading2"/>
        <w:ind w:left="0" w:hanging="0"/>
        <w:rPr/>
      </w:pPr>
      <w:r>
        <w:rPr/>
      </w:r>
    </w:p>
    <w:p>
      <w:pPr>
        <w:pStyle w:val="Heading2"/>
        <w:ind w:left="0" w:hanging="0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>Ovde idu kratko opisani rezultati testiranja: pronađene ranjivosti i nivo opasnosti.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fill="156082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b/>
                <w:b/>
                <w:bCs/>
                <w:i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Nivo opasnosti</w:t>
            </w:r>
          </w:p>
        </w:tc>
        <w:tc>
          <w:tcPr>
            <w:tcW w:w="450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fill="156082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b/>
                <w:b/>
                <w:bCs/>
                <w:i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Broj ranjivosti</w:t>
            </w:r>
          </w:p>
        </w:tc>
      </w:tr>
      <w:tr>
        <w:trPr/>
        <w:tc>
          <w:tcPr>
            <w:tcW w:w="4508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b/>
                <w:b/>
                <w:bCs/>
                <w:i/>
                <w:i/>
                <w:i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Low</w:t>
            </w:r>
          </w:p>
        </w:tc>
        <w:tc>
          <w:tcPr>
            <w:tcW w:w="4507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i/>
                <w:i/>
                <w:i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i/>
                <w:iCs/>
                <w:kern w:val="2"/>
                <w:sz w:val="24"/>
                <w:szCs w:val="24"/>
                <w:lang w:val="en-US" w:eastAsia="ja-JP" w:bidi="ar-SA"/>
              </w:rPr>
              <w:t>3</w:t>
            </w:r>
          </w:p>
        </w:tc>
      </w:tr>
      <w:tr>
        <w:trPr/>
        <w:tc>
          <w:tcPr>
            <w:tcW w:w="4508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b/>
                <w:b/>
                <w:bCs/>
                <w:i/>
                <w:i/>
                <w:i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Medium</w:t>
            </w:r>
          </w:p>
        </w:tc>
        <w:tc>
          <w:tcPr>
            <w:tcW w:w="4507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i/>
                <w:i/>
                <w:i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i/>
                <w:iCs/>
                <w:kern w:val="2"/>
                <w:sz w:val="24"/>
                <w:szCs w:val="24"/>
                <w:lang w:val="en-US" w:eastAsia="ja-JP" w:bidi="ar-SA"/>
              </w:rPr>
              <w:t>2</w:t>
            </w:r>
          </w:p>
        </w:tc>
      </w:tr>
      <w:tr>
        <w:trPr/>
        <w:tc>
          <w:tcPr>
            <w:tcW w:w="4508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b/>
                <w:b/>
                <w:bCs/>
                <w:i/>
                <w:i/>
                <w:i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High</w:t>
            </w:r>
          </w:p>
        </w:tc>
        <w:tc>
          <w:tcPr>
            <w:tcW w:w="4507" w:type="dxa"/>
            <w:tcBorders>
              <w:top w:val="single" w:sz="4" w:space="0" w:color="45B0E1"/>
              <w:left w:val="single" w:sz="4" w:space="0" w:color="45B0E1"/>
              <w:bottom w:val="single" w:sz="4" w:space="0" w:color="45B0E1"/>
              <w:right w:val="single" w:sz="4" w:space="0" w:color="45B0E1"/>
            </w:tcBorders>
            <w:shd w:fill="C1E4F5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ptos" w:hAnsi="Aptos" w:eastAsia="游明朝"/>
                <w:i/>
                <w:i/>
                <w:i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/>
                <w:i/>
                <w:iCs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ind w:left="0" w:hanging="0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ind w:left="0" w:hanging="0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ind w:left="0" w:hanging="0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1.SQL injection: Unosom upita u polje za komentare, pokušava se unos novog korisnika u Persons tabelu.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9923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Slika 1: Unosimo komentar</w:t>
      </w:r>
    </w:p>
    <w:p>
      <w:pPr>
        <w:pStyle w:val="Heading2"/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8508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Slika 2: Novi korisnik je unet u tabelu</w:t>
      </w:r>
    </w:p>
    <w:p>
      <w:pPr>
        <w:pStyle w:val="Normal"/>
        <w:rPr/>
      </w:pPr>
      <w:r>
        <w:rPr/>
      </w:r>
    </w:p>
    <w:p>
      <w:pPr>
        <w:pStyle w:val="Heading2"/>
        <w:ind w:left="0" w:hanging="0"/>
        <w:rPr/>
      </w:pPr>
      <w:bookmarkStart w:id="7" w:name="_Toc160050515"/>
      <w:r>
        <w:rPr/>
        <w:t>Predlog odbrane:</w:t>
      </w:r>
      <w:bookmarkEnd w:id="7"/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Sprečavanje SQL injection-a</w:t>
      </w:r>
      <w:r>
        <w:rPr/>
        <w:t xml:space="preserve"> se ostvaruje tako što se umesto klase </w:t>
      </w:r>
      <w:r>
        <w:rPr>
          <w:rStyle w:val="SourceText"/>
        </w:rPr>
        <w:t>Statement</w:t>
      </w:r>
      <w:r>
        <w:rPr/>
        <w:t xml:space="preserve"> koristi klasa </w:t>
      </w:r>
      <w:r>
        <w:rPr>
          <w:rStyle w:val="SourceText"/>
        </w:rPr>
        <w:t>PreparedStatement</w:t>
      </w:r>
      <w:r>
        <w:rPr/>
        <w:t>. Ovim pristupom onemogućava se izvršavanje neovlašćenih SQL upita. Nakon izmene, komentari se i dalje uspešno upisuju u bazu, ali napadač više ne može putem unosa da doda novog korisnika.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2.XSS: U polje za komentare umesto email adrese unosimo JavaScript koji treba da prikaže kolačiće korisnika. Pokušava se sa malicioznim skriptom.</w:t>
        <w:br/>
      </w:r>
    </w:p>
    <w:p>
      <w:pPr>
        <w:pStyle w:val="Normal"/>
        <w:rPr/>
      </w:pPr>
      <w:r>
        <w:rPr/>
        <w:br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9923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Slika 3: Unosi se maliciozni komentar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65176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29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Slika 4: Novi korisnik je unet u tabelu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7485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49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Slika 5: Pretraga korisnika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Heading2"/>
        <w:ind w:left="0" w:hanging="0"/>
        <w:rPr/>
      </w:pPr>
      <w:bookmarkStart w:id="8" w:name="_Toc1600505151"/>
      <w:r>
        <w:rPr>
          <w:rStyle w:val="StrongEmphasis"/>
          <w:b w:val="false"/>
          <w:bCs w:val="false"/>
        </w:rPr>
        <w:t>Predlog odbrane:</w:t>
      </w:r>
      <w:bookmarkEnd w:id="8"/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Style w:val="StrongEmphasis"/>
        </w:rPr>
        <w:t>Odbrana od XSS napada</w:t>
      </w:r>
      <w:r>
        <w:rPr/>
        <w:t xml:space="preserve"> podrazumeva nekoliko prilagođavanja. U fajlu </w:t>
      </w:r>
      <w:r>
        <w:rPr>
          <w:rStyle w:val="Emphasis"/>
        </w:rPr>
        <w:t>persons.html</w:t>
      </w:r>
      <w:r>
        <w:rPr/>
        <w:t xml:space="preserve"> umesto </w:t>
      </w:r>
      <w:r>
        <w:rPr>
          <w:rStyle w:val="SourceText"/>
        </w:rPr>
        <w:t>innerHTML</w:t>
      </w:r>
      <w:r>
        <w:rPr/>
        <w:t xml:space="preserve"> koristi se </w:t>
      </w:r>
      <w:r>
        <w:rPr>
          <w:rStyle w:val="SourceText"/>
        </w:rPr>
        <w:t>textContent</w:t>
      </w:r>
      <w:r>
        <w:rPr/>
        <w:t>, čime se neutralizuje mogućnost pokretanja umetnutog JavaScript-a. Na ovaj način komentar ostaje vidljiv korisniku, ali zlonamerni kod se neće izvršiti, niti je moguće ubacivanje dodatnih korisnika.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Heading1"/>
        <w:ind w:left="0" w:hanging="0"/>
        <w:rPr/>
      </w:pPr>
      <w:bookmarkStart w:id="9" w:name="_Toc160050516"/>
      <w:r>
        <w:rPr/>
        <w:t>Cross-site scripting</w:t>
      </w:r>
      <w:bookmarkEnd w:id="9"/>
    </w:p>
    <w:p>
      <w:pPr>
        <w:pStyle w:val="Heading2"/>
        <w:ind w:left="0" w:hanging="0"/>
        <w:rPr/>
      </w:pPr>
      <w:bookmarkStart w:id="10" w:name="_Toc160050517"/>
      <w:r>
        <w:rPr/>
        <w:t>Napad: Ubacivanje novog usera u tabelu “persons”</w:t>
      </w:r>
      <w:bookmarkEnd w:id="10"/>
    </w:p>
    <w:p>
      <w:pPr>
        <w:pStyle w:val="Heading3"/>
        <w:ind w:left="0" w:hanging="0"/>
        <w:rPr/>
      </w:pPr>
      <w:bookmarkStart w:id="11" w:name="_Toc160050518"/>
      <w:r>
        <w:rPr/>
        <w:t>Metod napada: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Napad treba da promeni lične podatke korisnika sa id=1 , tako da je FirstName=”Batman” i lastName=”Dark Knight”.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9923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Slika 6: Pokrecemo skriptu iz terminala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144145</wp:posOffset>
            </wp:positionV>
            <wp:extent cx="5731510" cy="3999230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Slika 7: Promenjeni podaci nakon napada</w:t>
      </w:r>
    </w:p>
    <w:p>
      <w:pPr>
        <w:pStyle w:val="Normal"/>
        <w:rPr/>
      </w:pPr>
      <w:r>
        <w:rPr/>
      </w:r>
    </w:p>
    <w:p>
      <w:pPr>
        <w:pStyle w:val="Heading2"/>
        <w:ind w:left="0" w:hanging="0"/>
        <w:rPr/>
      </w:pPr>
      <w:bookmarkStart w:id="12" w:name="_Toc160050519"/>
      <w:r>
        <w:rPr/>
        <w:t>Predlog odbrane:</w:t>
      </w:r>
      <w:bookmarkEnd w:id="12"/>
    </w:p>
    <w:p>
      <w:pPr>
        <w:pStyle w:val="TextBody"/>
        <w:rPr/>
      </w:pPr>
      <w:r>
        <w:rPr/>
        <w:t xml:space="preserve">Radi zaštite od CSRF napada u klasi </w:t>
      </w:r>
      <w:r>
        <w:rPr>
          <w:rStyle w:val="StrongEmphasis"/>
        </w:rPr>
        <w:t>PersonController</w:t>
      </w:r>
      <w:r>
        <w:rPr/>
        <w:t xml:space="preserve">, u metodi </w:t>
      </w:r>
      <w:r>
        <w:rPr>
          <w:rStyle w:val="SourceText"/>
        </w:rPr>
        <w:t>person</w:t>
      </w:r>
      <w:r>
        <w:rPr/>
        <w:t xml:space="preserve"> dohvatamo CSRF token iz sesije i prosleđujemo ga kroz model. Zatim, u metodi </w:t>
      </w:r>
      <w:r>
        <w:rPr>
          <w:rStyle w:val="SourceText"/>
        </w:rPr>
        <w:t>updatePerson</w:t>
      </w:r>
      <w:r>
        <w:rPr/>
        <w:t xml:space="preserve"> proveravamo da li se token koji je stigao iz forme poklapa sa onim koji je sačuvan u sesiji. Pored toga, u samu formu za izmenu podataka o korisniku dodajemo posebno</w:t>
      </w:r>
      <w:r>
        <w:rPr>
          <w:rStyle w:val="Emphasis"/>
        </w:rPr>
        <w:t xml:space="preserve"> input</w:t>
      </w:r>
      <w:r>
        <w:rPr/>
        <w:t xml:space="preserve"> polje u kojem se čuva vrednost CSRF tokena.</w:t>
      </w:r>
    </w:p>
    <w:p>
      <w:pPr>
        <w:pStyle w:val="Normal"/>
        <w:rPr/>
      </w:pPr>
      <w:r>
        <w:rPr/>
      </w:r>
    </w:p>
    <w:p>
      <w:pPr>
        <w:pStyle w:val="Heading1"/>
        <w:ind w:left="0" w:hanging="0"/>
        <w:rPr/>
      </w:pPr>
      <w:bookmarkStart w:id="13" w:name="_Toc160050520"/>
      <w:r>
        <w:rPr/>
        <w:t>Zaključak</w:t>
      </w:r>
      <w:bookmarkEnd w:id="13"/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 xml:space="preserve">Tokom testiranja utvrđeno je da aplikacija sadrži određene ranjivosti koje mogu ugroziti sigurnost podataka i funkcionalnost sistema (SQL injection, XSS, CSRF). Primena zaštitnih mehanizama poput korišćenja </w:t>
      </w:r>
      <w:r>
        <w:rPr>
          <w:rStyle w:val="Emphasis"/>
        </w:rPr>
        <w:t>PreparedStatement</w:t>
      </w:r>
      <w:r>
        <w:rPr/>
        <w:t>-a, enkodiranja sadržaja, validacije unosa i CSRF tokena značajno smanjuje mogućnost zloupotrebe.</w:t>
      </w:r>
    </w:p>
    <w:p>
      <w:pPr>
        <w:pStyle w:val="TextBody"/>
        <w:rPr/>
      </w:pPr>
      <w:r>
        <w:rPr/>
        <w:t>Kao sledeći korak preporučuje se: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sprovođenje detaljnijih bezbednosnih testova (penetration testing),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uvođenje dodatnih slojeva zaštite (npr. autentikacija sa višestrukim faktorom, validacija podataka na serverskoj strani),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redovno ažuriranje zavisnosti i biblioteka,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kao i stalno praćenje bezbednosnih preporuka i smernica.</w:t>
      </w:r>
    </w:p>
    <w:p>
      <w:pPr>
        <w:pStyle w:val="TextBody"/>
        <w:rPr/>
      </w:pPr>
      <w:r>
        <w:rPr/>
        <w:t>Na ovaj način aplikacija može dostići viši nivo sigurnosti i otpornosti na potencijalne napade.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DejaVu Sans"/>
        <w:kern w:val="2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160"/>
      <w:jc w:val="left"/>
    </w:pPr>
    <w:rPr>
      <w:rFonts w:ascii="Aptos" w:hAnsi="Aptos" w:eastAsia="游明朝" w:cs="DejaVu Sans"/>
      <w:color w:val="auto"/>
      <w:kern w:val="2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游ゴシック Light" w:cs="DejaVu Sans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游ゴシック Light" w:cs="DejaVu Sans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游ゴシック Light" w:cs="DejaVu Sans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游ゴシック Light" w:cs="DejaVu Sans"/>
      <w:i/>
      <w:iCs/>
      <w:color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游ゴシック Light" w:cs="DejaVu Sans"/>
      <w:color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游ゴシック Light" w:cs="DejaVu Sans"/>
      <w:i/>
      <w:iCs/>
      <w:color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游ゴシック Light" w:cs="DejaVu Sans"/>
      <w:color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游ゴシック Light" w:cs="DejaVu Sans"/>
      <w:i/>
      <w:iCs/>
      <w:color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游ゴシック Light" w:cs="DejaVu Sans"/>
      <w:color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游ゴシック Light" w:cs="DejaVu Sans"/>
      <w:color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游ゴシック Light" w:cs="DejaVu Sans"/>
      <w:color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游ゴシック Light" w:cs="DejaVu Sans"/>
      <w:color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游ゴシック Light" w:cs="DejaVu Sans"/>
      <w:i/>
      <w:iCs/>
      <w:color w:val="0F4761"/>
    </w:rPr>
  </w:style>
  <w:style w:type="character" w:styleId="Heading5Char">
    <w:name w:val="Heading 5 Char"/>
    <w:basedOn w:val="DefaultParagraphFont"/>
    <w:link w:val="Heading5"/>
    <w:qFormat/>
    <w:rPr>
      <w:rFonts w:eastAsia="游ゴシック Light" w:cs="DejaVu Sans"/>
      <w:color w:val="0F4761"/>
    </w:rPr>
  </w:style>
  <w:style w:type="character" w:styleId="Heading6Char">
    <w:name w:val="Heading 6 Char"/>
    <w:basedOn w:val="DefaultParagraphFont"/>
    <w:link w:val="Heading6"/>
    <w:qFormat/>
    <w:rPr>
      <w:rFonts w:eastAsia="游ゴシック Light" w:cs="DejaVu Sans"/>
      <w:i/>
      <w:iCs/>
      <w:color w:val="595959"/>
    </w:rPr>
  </w:style>
  <w:style w:type="character" w:styleId="Heading7Char">
    <w:name w:val="Heading 7 Char"/>
    <w:basedOn w:val="DefaultParagraphFont"/>
    <w:link w:val="Heading7"/>
    <w:qFormat/>
    <w:rPr>
      <w:rFonts w:eastAsia="游ゴシック Light" w:cs="DejaVu Sans"/>
      <w:color w:val="595959"/>
    </w:rPr>
  </w:style>
  <w:style w:type="character" w:styleId="Heading8Char">
    <w:name w:val="Heading 8 Char"/>
    <w:basedOn w:val="DefaultParagraphFont"/>
    <w:link w:val="Heading8"/>
    <w:qFormat/>
    <w:rPr>
      <w:rFonts w:eastAsia="游ゴシック Light" w:cs="DejaVu Sans"/>
      <w:i/>
      <w:iCs/>
      <w:color w:val="272727"/>
    </w:rPr>
  </w:style>
  <w:style w:type="character" w:styleId="Heading9Char">
    <w:name w:val="Heading 9 Char"/>
    <w:basedOn w:val="DefaultParagraphFont"/>
    <w:link w:val="Heading9"/>
    <w:qFormat/>
    <w:rPr>
      <w:rFonts w:eastAsia="游ゴシック Light" w:cs="DejaVu Sans"/>
      <w:color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游ゴシック Light" w:cs="DejaVu Sans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游ゴシック Light" w:cs="DejaVu Sans"/>
      <w:color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val="0F4761"/>
      <w:spacing w:val="5"/>
    </w:rPr>
  </w:style>
  <w:style w:type="character" w:styleId="NoSpacingChar">
    <w:name w:val="No Spacing Char"/>
    <w:basedOn w:val="DefaultParagraphFont"/>
    <w:link w:val="NoSpacing"/>
    <w:qFormat/>
    <w:rPr>
      <w:kern w:val="0"/>
      <w:sz w:val="22"/>
      <w:szCs w:val="22"/>
      <w:lang w:eastAsia="en-US"/>
    </w:rPr>
  </w:style>
  <w:style w:type="character" w:styleId="InternetLink">
    <w:name w:val="Hyperlink"/>
    <w:basedOn w:val="DefaultParagraphFont"/>
    <w:rPr>
      <w:color w:val="467886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JP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游ゴシック Light" w:cs="DejaVu Sans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游ゴシック Light" w:cs="DejaVu Sans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paragraph" w:styleId="NoSpacing">
    <w:name w:val="No Spacing"/>
    <w:link w:val="NoSpacingChar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Aptos" w:hAnsi="Aptos" w:eastAsia="游明朝" w:cs="DejaVu Sans"/>
      <w:color w:val="auto"/>
      <w:kern w:val="0"/>
      <w:sz w:val="22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spacing w:lineRule="auto" w:line="259" w:before="240" w:after="0"/>
      <w:outlineLvl w:val="9"/>
    </w:pPr>
    <w:rPr>
      <w:kern w:val="0"/>
      <w:sz w:val="32"/>
      <w:szCs w:val="32"/>
      <w:lang w:eastAsia="en-US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LibreOffice/7.3.7.2$Linux_X86_64 LibreOffice_project/30$Build-2</Application>
  <AppVersion>15.0000</AppVersion>
  <Pages>10</Pages>
  <Words>552</Words>
  <Characters>3297</Characters>
  <CharactersWithSpaces>3751</CharactersWithSpaces>
  <Paragraphs>86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2025-08-22T16:24:51Z</dcterms:modified>
  <cp:revision>5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