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20" w:lineRule="auto"/>
      </w:pPr>
      <w:r>
        <w:rPr>
          <w:rFonts w:ascii="IBM Plex Sans SemiBold" w:hAnsi="IBM Plex Sans SemiBold" w:cs="IBM Plex Sans SemiBold" w:eastAsia="IBM Plex Sans SemiBold"/>
          <w:b w:val="0"/>
          <w:i w:val="0"/>
          <w:color w:val="1A1A1A"/>
          <w:sz w:val="44"/>
        </w:rPr>
        <w:t>Якоря</w:t>
      </w:r>
    </w:p>
    <w:p>
      <w:pPr>
        <w:spacing w:before="0" w:after="40" w:line="230" w:lineRule="auto"/>
      </w:pPr>
      <w:r>
        <w:rPr>
          <w:rFonts w:ascii="IBM Plex Sans" w:hAnsi="IBM Plex Sans" w:cs="IBM Plex Sans" w:eastAsia="IBM Plex Sans"/>
          <w:b w:val="0"/>
          <w:i w:val="0"/>
          <w:color w:val="4A4A4A"/>
          <w:sz w:val="22"/>
        </w:rPr>
        <w:t>Spin &amp; Go  ·  3-max  ·  15bb  ·  для печати</w:t>
      </w:r>
    </w:p>
    <w:p>
      <w:pPr>
        <w:spacing w:before="0" w:after="40" w:line="230" w:lineRule="auto"/>
      </w:pPr>
      <w:r>
        <w:rPr>
          <w:rFonts w:ascii="IBM Plex Sans" w:hAnsi="IBM Plex Sans" w:cs="IBM Plex Sans" w:eastAsia="IBM Plex Sans"/>
          <w:b w:val="0"/>
          <w:i w:val="0"/>
          <w:color w:val="1A1A1A"/>
          <w:sz w:val="20"/>
        </w:rPr>
        <w:t>Колл пуша 15bb с баттона просит около 47%. Цифры грубые: чтобы решить за две секунды, не чтобы спорить с солвером.</w:t>
      </w:r>
    </w:p>
    <w:p>
      <w:pPr>
        <w:spacing w:before="80" w:after="20" w:line="220" w:lineRule="auto"/>
      </w:pPr>
      <w:r>
        <w:rPr>
          <w:rFonts w:ascii="IBM Plex Sans SemiBold" w:hAnsi="IBM Plex Sans SemiBold" w:cs="IBM Plex Sans SemiBold" w:eastAsia="IBM Plex Sans SemiBold"/>
          <w:b w:val="0"/>
          <w:i w:val="0"/>
          <w:color w:val="1A1A1A"/>
          <w:sz w:val="24"/>
        </w:rPr>
        <w:t>Ваша рука против широкого пуша BTN</w:t>
      </w:r>
    </w:p>
    <w:tbl>
      <w:tblPr>
        <w:tblW w:type="dxa" w:w="10640"/>
        <w:tblLayout w:type="fixed"/>
        <w:tblLook w:firstColumn="1" w:firstRow="1" w:lastColumn="0" w:lastRow="0" w:noHBand="0" w:noVBand="1" w:val="04A0"/>
      </w:tblPr>
      <w:tblGrid>
        <w:gridCol w:w="2200"/>
        <w:gridCol w:w="1700"/>
        <w:gridCol w:w="1500"/>
        <w:gridCol w:w="5240"/>
      </w:tblGrid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  <w:shd w:val="clear" w:color="auto" w:fill="F0F0F0"/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4A4A4A"/>
                <w:sz w:val="18"/>
              </w:rPr>
              <w:t>Рука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  <w:shd w:val="clear" w:color="auto" w:fill="F0F0F0"/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4A4A4A"/>
                <w:sz w:val="18"/>
              </w:rPr>
              <w:t>Эквити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  <w:shd w:val="clear" w:color="auto" w:fill="F0F0F0"/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4A4A4A"/>
                <w:sz w:val="18"/>
              </w:rPr>
              <w:t>Решение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  <w:shd w:val="clear" w:color="auto" w:fill="F0F0F0"/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4A4A4A"/>
                <w:sz w:val="18"/>
              </w:rPr>
              <w:t>Зачем помнить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AA / KK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80%+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B5E32"/>
                <w:sz w:val="18"/>
              </w:rPr>
              <w:t>колл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Сильный фаворит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QQ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70–75%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B5E32"/>
                <w:sz w:val="18"/>
              </w:rPr>
              <w:t>колл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Впереди широкого пуша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JJ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62–66%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B5E32"/>
                <w:sz w:val="18"/>
              </w:rPr>
              <w:t>колл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Уверенный колл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TT / 99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55–60%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B5E32"/>
                <w:sz w:val="18"/>
              </w:rPr>
              <w:t>колл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Часть диапазона — оверкарты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88–66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52–55%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B5E32"/>
                <w:sz w:val="18"/>
              </w:rPr>
              <w:t>колл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Чуть впереди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55–22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~50%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B5E32"/>
                <w:sz w:val="18"/>
              </w:rPr>
              <w:t>колл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Часто флип против AK. 22 обычно колл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AK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60–65%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B5E32"/>
                <w:sz w:val="18"/>
              </w:rPr>
              <w:t>колл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Одномастная ближе к 65%, разномастная к 60%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AQ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~55%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B5E32"/>
                <w:sz w:val="18"/>
              </w:rPr>
              <w:t>колл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Запас над 47%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AJ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~50%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B5E32"/>
                <w:sz w:val="18"/>
              </w:rPr>
              <w:t>колл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Тонко, но ещё колл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ATs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45–48%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граница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Одномастность держит на черте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ATo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41–44%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8C1D18"/>
                <w:sz w:val="18"/>
              </w:rPr>
              <w:t>фолд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Знакомый туз, эквити уже мало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A9o и слабее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38–42%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8C1D18"/>
                <w:sz w:val="18"/>
              </w:rPr>
              <w:t>фолд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Ещё хуже ATo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KQs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~48%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граница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Одномастность чуть помогает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KQo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~45%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8C1D18"/>
                <w:sz w:val="18"/>
              </w:rPr>
              <w:t>фолд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Чуть ниже нужного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KJ / QJ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40–44%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8C1D18"/>
                <w:sz w:val="18"/>
              </w:rPr>
              <w:t>фолд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Доминируются тузами и королями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76s и похожие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35–38%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8C1D18"/>
                <w:sz w:val="18"/>
              </w:rPr>
              <w:t>фолд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Мало эквити против пуша 15bb</w:t>
            </w:r>
          </w:p>
        </w:tc>
      </w:tr>
    </w:tbl>
    <w:p>
      <w:pPr>
        <w:spacing w:before="0" w:after="0" w:line="40" w:lineRule="auto"/>
      </w:pPr>
    </w:p>
    <w:p>
      <w:pPr>
        <w:spacing w:before="80" w:after="20" w:line="220" w:lineRule="auto"/>
      </w:pPr>
      <w:r>
        <w:rPr>
          <w:rFonts w:ascii="IBM Plex Sans SemiBold" w:hAnsi="IBM Plex Sans SemiBold" w:cs="IBM Plex Sans SemiBold" w:eastAsia="IBM Plex Sans SemiBold"/>
          <w:b w:val="0"/>
          <w:i w:val="0"/>
          <w:color w:val="1A1A1A"/>
          <w:sz w:val="24"/>
        </w:rPr>
        <w:t>Пара против одной руки, не против всего диапазона</w:t>
      </w:r>
    </w:p>
    <w:tbl>
      <w:tblPr>
        <w:tblW w:type="dxa" w:w="10640"/>
        <w:tblLayout w:type="fixed"/>
        <w:tblLook w:firstColumn="1" w:firstRow="1" w:lastColumn="0" w:lastRow="0" w:noHBand="0" w:noVBand="1" w:val="04A0"/>
      </w:tblPr>
      <w:tblGrid>
        <w:gridCol w:w="2200"/>
        <w:gridCol w:w="1700"/>
        <w:gridCol w:w="1500"/>
        <w:gridCol w:w="5240"/>
      </w:tblGrid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  <w:shd w:val="clear" w:color="auto" w:fill="F0F0F0"/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4A4A4A"/>
                <w:sz w:val="18"/>
              </w:rPr>
              <w:t>Рука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  <w:shd w:val="clear" w:color="auto" w:fill="F0F0F0"/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4A4A4A"/>
                <w:sz w:val="18"/>
              </w:rPr>
              <w:t>Эквити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  <w:shd w:val="clear" w:color="auto" w:fill="F0F0F0"/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4A4A4A"/>
                <w:sz w:val="18"/>
              </w:rPr>
              <w:t>Решение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  <w:shd w:val="clear" w:color="auto" w:fill="F0F0F0"/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4A4A4A"/>
                <w:sz w:val="18"/>
              </w:rPr>
              <w:t>Зачем помнить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AA vs KK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~82%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Против AK ~87%, против 22 ~80%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KK vs QQ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~82%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Против AK только ~70%: у туза оверкарта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QQ / JJ vs AK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~57%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Пара чуть впереди двух оверкарт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Пара vs младшая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~80%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QQ против 22 всё ещё около 80%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TT–22 vs AK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52–55%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Флип. Не 70% и не монетка</w:t>
            </w:r>
          </w:p>
        </w:tc>
      </w:tr>
    </w:tbl>
    <w:p>
      <w:pPr>
        <w:spacing w:before="0" w:after="0" w:line="40" w:lineRule="auto"/>
      </w:pPr>
    </w:p>
    <w:p>
      <w:pPr>
        <w:spacing w:before="80" w:after="20" w:line="220" w:lineRule="auto"/>
      </w:pPr>
      <w:r>
        <w:rPr>
          <w:rFonts w:ascii="IBM Plex Sans SemiBold" w:hAnsi="IBM Plex Sans SemiBold" w:cs="IBM Plex Sans SemiBold" w:eastAsia="IBM Plex Sans SemiBold"/>
          <w:b w:val="0"/>
          <w:i w:val="0"/>
          <w:color w:val="1A1A1A"/>
          <w:sz w:val="24"/>
        </w:rPr>
        <w:t>Доминирование</w:t>
      </w:r>
    </w:p>
    <w:tbl>
      <w:tblPr>
        <w:tblW w:type="dxa" w:w="10640"/>
        <w:tblLayout w:type="fixed"/>
        <w:tblLook w:firstColumn="1" w:firstRow="1" w:lastColumn="0" w:lastRow="0" w:noHBand="0" w:noVBand="1" w:val="04A0"/>
      </w:tblPr>
      <w:tblGrid>
        <w:gridCol w:w="2200"/>
        <w:gridCol w:w="1700"/>
        <w:gridCol w:w="1500"/>
        <w:gridCol w:w="5240"/>
      </w:tblGrid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  <w:shd w:val="clear" w:color="auto" w:fill="F0F0F0"/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4A4A4A"/>
                <w:sz w:val="18"/>
              </w:rPr>
              <w:t>Рука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  <w:shd w:val="clear" w:color="auto" w:fill="F0F0F0"/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4A4A4A"/>
                <w:sz w:val="18"/>
              </w:rPr>
              <w:t>Эквити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  <w:shd w:val="clear" w:color="auto" w:fill="F0F0F0"/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4A4A4A"/>
                <w:sz w:val="18"/>
              </w:rPr>
              <w:t>Решение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  <w:shd w:val="clear" w:color="auto" w:fill="F0F0F0"/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4A4A4A"/>
                <w:sz w:val="18"/>
              </w:rPr>
              <w:t>Зачем помнить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AK vs AQ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70–74%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Тот же туз, король лучше дамы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AK vs 22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45–48%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Пара чуть впереди. Вы не фаворит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AQ vs AJ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~70%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Доминируете младший туз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AQ vs AK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26–30%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Вас доминируют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KQ vs AK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~28%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Делите короля и почти всегда хуже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Одномастная</w:t>
            </w:r>
          </w:p>
        </w:tc>
        <w:tc>
          <w:tcPr>
            <w:tcW w:type="dxa" w:w="17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+2–4%</w:t>
            </w:r>
          </w:p>
        </w:tc>
        <w:tc>
          <w:tcPr>
            <w:tcW w:type="dxa" w:w="15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 SemiBold" w:hAnsi="IBM Plex Sans SemiBold" w:cs="IBM Plex Sans SemiBold" w:eastAsia="IBM Plex Sans SemiBold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52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2" w:type="dxa"/>
              <w:left w:w="60" w:type="dxa"/>
              <w:bottom w:w="22" w:type="dxa"/>
              <w:right w:w="40" w:type="dxa"/>
            </w:tcMar>
          </w:tcPr>
          <w:p>
            <w:pPr>
              <w:spacing w:before="0" w:after="0" w:line="200" w:lineRule="auto"/>
            </w:pPr>
            <w:r>
              <w:rPr>
                <w:rFonts w:ascii="IBM Plex Sans" w:hAnsi="IBM Plex Sans" w:cs="IBM Plex Sans" w:eastAsia="IBM Plex Sans"/>
                <w:b w:val="0"/>
                <w:i w:val="0"/>
                <w:color w:val="1A1A1A"/>
                <w:sz w:val="18"/>
              </w:rPr>
              <w:t>Прибавка, не повод коллировать слабый туз</w:t>
            </w:r>
          </w:p>
        </w:tc>
      </w:tr>
    </w:tbl>
    <w:p>
      <w:pPr>
        <w:spacing w:before="0" w:after="0" w:line="40" w:lineRule="auto"/>
      </w:pPr>
    </w:p>
    <w:p>
      <w:pPr>
        <w:spacing w:before="80" w:after="20" w:line="220" w:lineRule="auto"/>
      </w:pPr>
      <w:r>
        <w:rPr>
          <w:rFonts w:ascii="IBM Plex Sans SemiBold" w:hAnsi="IBM Plex Sans SemiBold" w:cs="IBM Plex Sans SemiBold" w:eastAsia="IBM Plex Sans SemiBold"/>
          <w:b w:val="0"/>
          <w:i w:val="0"/>
          <w:color w:val="1A1A1A"/>
          <w:sz w:val="24"/>
        </w:rPr>
        <w:t>Если уже борд</w:t>
      </w:r>
    </w:p>
    <w:p>
      <w:pPr>
        <w:spacing w:before="0" w:after="20" w:line="230" w:lineRule="auto"/>
      </w:pPr>
      <w:r>
        <w:rPr>
          <w:rFonts w:ascii="IBM Plex Sans" w:hAnsi="IBM Plex Sans" w:cs="IBM Plex Sans" w:eastAsia="IBM Plex Sans"/>
          <w:b w:val="0"/>
          <w:i w:val="0"/>
          <w:color w:val="1A1A1A"/>
          <w:sz w:val="20"/>
        </w:rPr>
        <w:t>Чистые ауты: флоп × 4, тёрн × 2. Гатшот 4 ≈ 16%. Две оверкарты 6 ≈ 24%. Стрейт с двух сторон 8 ≈ 32%. Флеш 9 ≈ 36%.</w:t>
      </w:r>
    </w:p>
    <w:p>
      <w:pPr>
        <w:spacing w:before="0" w:after="20" w:line="230" w:lineRule="auto"/>
      </w:pPr>
      <w:r>
        <w:rPr>
          <w:rFonts w:ascii="IBM Plex Sans" w:hAnsi="IBM Plex Sans" w:cs="IBM Plex Sans" w:eastAsia="IBM Plex Sans"/>
          <w:b w:val="0"/>
          <w:i w:val="0"/>
          <w:color w:val="1A1A1A"/>
          <w:sz w:val="20"/>
        </w:rPr>
        <w:t>Оверкарта — карта в руке старше борда. AK на Q-7-2 — две оверкарты, около 24% против топ-пары. Не монетка.</w:t>
      </w:r>
    </w:p>
    <w:p>
      <w:pPr>
        <w:spacing w:before="0" w:after="0" w:line="230" w:lineRule="auto"/>
      </w:pPr>
      <w:r>
        <w:rPr>
          <w:rFonts w:ascii="IBM Plex Sans" w:hAnsi="IBM Plex Sans" w:cs="IBM Plex Sans" w:eastAsia="IBM Plex Sans"/>
          <w:b w:val="0"/>
          <w:i w:val="0"/>
          <w:color w:val="1A1A1A"/>
          <w:sz w:val="20"/>
        </w:rPr>
        <w:t>Цена колла = сколько доплатить / банк после вашего колла. Полка выше цены — колл. Ниже — фолд.</w:t>
      </w:r>
    </w:p>
    <w:sectPr w:rsidR="00FC693F" w:rsidRPr="0006063C" w:rsidSect="00034616">
      <w:footerReference w:type="default" r:id="rId9"/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BM Plex Sans">
    <w:charset w:val="CC"/>
    <w:family w:val="swiss"/>
    <w:pitch w:val="variable"/>
    <w:embedRegular r:id="rIdPlex" w:fontKey="{C1A21E40-6B2D-4F18-9C55-0E8D4A71B2C6}"/>
  </w:font>
  <w:font w:name="IBM Plex Sans SemiBold">
    <w:charset w:val="CC"/>
    <w:family w:val="swiss"/>
    <w:pitch w:val="variable"/>
    <w:embedRegular r:id="rIdPlexMed" w:fontKey="{D2B32F51-7C3E-4059-8D66-1F9E5B82C3D7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spacing w:before="0" w:after="0" w:line="200" w:lineRule="auto"/>
    </w:pPr>
    <w:r>
      <w:rPr>
        <w:rFonts w:ascii="IBM Plex Sans" w:hAnsi="IBM Plex Sans" w:cs="IBM Plex Sans" w:eastAsia="IBM Plex Sans"/>
        <w:b w:val="0"/>
        <w:i w:val="0"/>
        <w:color w:val="4A4A4A"/>
        <w:sz w:val="16"/>
      </w:rPr>
      <w:t>Чарт важнее этой бумажки. Калькулятор в раздаче не открывать.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cs="IBM Plex Sans" w:eastAsia="IBM Plex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"1.0" encoding="UTF-8" standalone="yes"?><Relationships xmlns="http://schemas.openxmlformats.org/package/2006/relationships"><Relationship Id="rIdPlex" Type="http://schemas.openxmlformats.org/officeDocument/2006/relationships/font" Target="fonts/plex-regular.odttf"/><Relationship Id="rIdPlexMed" Type="http://schemas.openxmlformats.org/officeDocument/2006/relationships/font" Target="fonts/plex-semi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