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F172A"/>
          <w:sz w:val="44"/>
        </w:rPr>
        <w:t>Technical Learning &amp; Project Summary Report</w:t>
      </w:r>
    </w:p>
    <w:p>
      <w:pPr>
        <w:spacing w:after="320"/>
      </w:pPr>
      <w:r>
        <w:rPr>
          <w:b/>
          <w:color w:val="12A37F"/>
          <w:sz w:val="24"/>
        </w:rPr>
        <w:t>Spearmint Audit Agent — Autonomous Technical SEO &amp; Multi-Agent Engine</w:t>
      </w:r>
    </w:p>
    <w:tbl>
      <w:tblPr>
        <w:tblW w:type="auto" w:w="0"/>
        <w:jc w:val="center"/>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pPr>
              <w:spacing w:after="0" w:before="0"/>
            </w:pPr>
            <w:r>
              <w:rPr>
                <w:b/>
                <w:color w:val="475569"/>
                <w:sz w:val="19"/>
              </w:rPr>
              <w:t>Author:</w:t>
            </w:r>
            <w:r>
              <w:rPr>
                <w:color w:val="0F172A"/>
                <w:sz w:val="19"/>
              </w:rPr>
              <w:t xml:space="preserve"> Arslaan Alam</w:t>
            </w:r>
          </w:p>
        </w:tc>
        <w:tc>
          <w:tcPr>
            <w:tcW w:type="dxa" w:w="4680"/>
            <w:shd w:fill="F8FAFC"/>
            <w:tcMar>
              <w:top w:w="80" w:type="dxa"/>
              <w:bottom w:w="80" w:type="dxa"/>
              <w:left w:w="120" w:type="dxa"/>
              <w:right w:w="120" w:type="dxa"/>
            </w:tcMar>
          </w:tcPr>
          <w:p>
            <w:pPr>
              <w:spacing w:after="0" w:before="0"/>
            </w:pPr>
            <w:r>
              <w:rPr>
                <w:b/>
                <w:color w:val="475569"/>
                <w:sz w:val="19"/>
              </w:rPr>
              <w:t>Date:</w:t>
            </w:r>
            <w:r>
              <w:rPr>
                <w:color w:val="0F172A"/>
                <w:sz w:val="19"/>
              </w:rPr>
              <w:t xml:space="preserve"> October 2026</w:t>
            </w:r>
          </w:p>
        </w:tc>
      </w:tr>
      <w:tr>
        <w:tc>
          <w:tcPr>
            <w:tcW w:type="dxa" w:w="4680"/>
            <w:shd w:fill="F8FAFC"/>
            <w:tcMar>
              <w:top w:w="80" w:type="dxa"/>
              <w:bottom w:w="80" w:type="dxa"/>
              <w:left w:w="120" w:type="dxa"/>
              <w:right w:w="120" w:type="dxa"/>
            </w:tcMar>
          </w:tcPr>
          <w:p>
            <w:pPr>
              <w:spacing w:after="0" w:before="0"/>
            </w:pPr>
            <w:r>
              <w:rPr>
                <w:b/>
                <w:color w:val="475569"/>
                <w:sz w:val="19"/>
              </w:rPr>
              <w:t>Role:</w:t>
            </w:r>
            <w:r>
              <w:rPr>
                <w:color w:val="0F172A"/>
                <w:sz w:val="19"/>
              </w:rPr>
              <w:t xml:space="preserve"> AI Engineer / Developer</w:t>
            </w:r>
          </w:p>
        </w:tc>
        <w:tc>
          <w:tcPr>
            <w:tcW w:type="dxa" w:w="4680"/>
            <w:shd w:fill="F8FAFC"/>
            <w:tcMar>
              <w:top w:w="80" w:type="dxa"/>
              <w:bottom w:w="80" w:type="dxa"/>
              <w:left w:w="120" w:type="dxa"/>
              <w:right w:w="120" w:type="dxa"/>
            </w:tcMar>
          </w:tcPr>
          <w:p>
            <w:pPr>
              <w:spacing w:after="0" w:before="0"/>
            </w:pPr>
            <w:r>
              <w:rPr>
                <w:b/>
                <w:color w:val="475569"/>
                <w:sz w:val="19"/>
              </w:rPr>
              <w:t>Repository:</w:t>
            </w:r>
            <w:r>
              <w:rPr>
                <w:color w:val="0F172A"/>
                <w:sz w:val="19"/>
              </w:rPr>
              <w:t xml:space="preserve"> github.com/arslaanalam700-web/audit-agent</w:t>
            </w:r>
          </w:p>
        </w:tc>
      </w:tr>
    </w:tbl>
    <w:p/>
    <w:p>
      <w:pPr>
        <w:keepNext/>
        <w:spacing w:before="320" w:after="120"/>
      </w:pPr>
      <w:r>
        <w:rPr>
          <w:b/>
          <w:color w:val="0F172A"/>
          <w:sz w:val="32"/>
        </w:rPr>
        <w:t>1. Executive Summary</w:t>
      </w:r>
    </w:p>
    <w:p>
      <w:pPr>
        <w:spacing w:after="160"/>
      </w:pPr>
      <w:r>
        <w:t>This report documents the architectural design, engineering learnings, and real-world deployment challenges encountered while developing, testing, and deploying the Spearmint Audit Agent.</w:t>
        <w:br/>
        <w:br/>
        <w:t>The project is an autonomous, dual-layer website analysis and multi-agent system built to eliminate slow, manual website audits. It crawls client websites, deterministically audits them across 68+ technical, on-page, performance, and security rules, and uses a collaborative team of specialized AI agents to generate client proposals, sales pitches, and prioritized developer fix tickets with commercial cost estimations in Indian Rupees (₹).</w:t>
      </w:r>
    </w:p>
    <w:p>
      <w:pPr>
        <w:keepNext/>
        <w:spacing w:before="320" w:after="120"/>
      </w:pPr>
      <w:r>
        <w:rPr>
          <w:b/>
          <w:color w:val="0F172A"/>
          <w:sz w:val="32"/>
        </w:rPr>
        <w:t>2. System Architecture &amp; Core Mechanics</w:t>
      </w:r>
    </w:p>
    <w:p>
      <w:r>
        <w:t>The system enforces a strict boundary between deterministic factual measurement and generative reasoning into two distinct layers:</w:t>
      </w:r>
    </w:p>
    <w:p>
      <w:pPr>
        <w:keepNext/>
        <w:spacing w:before="320" w:after="120"/>
      </w:pPr>
      <w:r>
        <w:rPr>
          <w:b/>
          <w:color w:val="12A37F"/>
          <w:sz w:val="26"/>
        </w:rPr>
        <w:t>Layer 1: The Deterministic Python Engine (Facts &amp; Evidence)</w:t>
      </w:r>
    </w:p>
    <w:p>
      <w:pPr>
        <w:pStyle w:val="ListBullet"/>
      </w:pPr>
      <w:r>
        <w:rPr>
          <w:b/>
        </w:rPr>
        <w:t xml:space="preserve">Zero Hallucination Principle: </w:t>
      </w:r>
      <w:r>
        <w:t>Audit scores and metrics are never invented by an LLM. They are mathematically calculated by analyzing raw HTTP responses, DOM trees, SSL certificates, and DNS records.</w:t>
      </w:r>
    </w:p>
    <w:p>
      <w:pPr>
        <w:pStyle w:val="ListBullet"/>
      </w:pPr>
      <w:r>
        <w:rPr>
          <w:b/>
        </w:rPr>
        <w:t xml:space="preserve">Asynchronous Deep Crawler: </w:t>
      </w:r>
      <w:r>
        <w:t>An async crawler with built-in politeness policies, robots.txt compliance, recursion depth control, and redirect chain detection.</w:t>
      </w:r>
    </w:p>
    <w:p>
      <w:pPr>
        <w:pStyle w:val="ListBullet"/>
      </w:pPr>
      <w:r>
        <w:rPr>
          <w:b/>
        </w:rPr>
        <w:t xml:space="preserve">SQLite Storage &amp; Evidence Registry: </w:t>
      </w:r>
      <w:r>
        <w:t>Every single crawl finding is stored with concrete URL and DOM evidence IDs in data/audits.db.</w:t>
      </w:r>
    </w:p>
    <w:p>
      <w:pPr>
        <w:keepNext/>
        <w:spacing w:before="320" w:after="120"/>
      </w:pPr>
      <w:r>
        <w:rPr>
          <w:b/>
          <w:color w:val="12A37F"/>
          <w:sz w:val="26"/>
        </w:rPr>
        <w:t>Layer 2: The Multi-Agent AI Team (Hermes &amp; FastMCP)</w:t>
      </w:r>
    </w:p>
    <w:p>
      <w:pPr>
        <w:pStyle w:val="ListBullet"/>
      </w:pPr>
      <w:r>
        <w:rPr>
          <w:b/>
        </w:rPr>
        <w:t xml:space="preserve">10 Specialized Agent Personas: </w:t>
      </w:r>
      <w:r>
        <w:t>Work is distributed across 10 specialized agent profiles communicating via the Agent2Agent (A2A) protocol (Lead, Technical SEO, Content, Performance, UX, Security, Off-page, QA, Fixer, and WordPress Fixer).</w:t>
      </w:r>
    </w:p>
    <w:p>
      <w:pPr>
        <w:pStyle w:val="ListBullet"/>
      </w:pPr>
      <w:r>
        <w:rPr>
          <w:b/>
        </w:rPr>
        <w:t xml:space="preserve">Strict QA Verification: </w:t>
      </w:r>
      <w:r>
        <w:t>A dedicated QA Agent inspects every specialist finding. If any issue lacks concrete evidence IDs, QA rejects it to guarantee zero false positives.</w:t>
      </w:r>
    </w:p>
    <w:p>
      <w:pPr>
        <w:pStyle w:val="ListBullet"/>
      </w:pPr>
      <w:r>
        <w:rPr>
          <w:b/>
        </w:rPr>
        <w:t xml:space="preserve">Model Context Protocol (FastMCP): </w:t>
      </w:r>
      <w:r>
        <w:t>Tools are exposed via a standardized HTTP FastMCP server on port 8800, granting agents read/write capabilities without exposing arbitrary terminal or file commands.</w:t>
      </w:r>
    </w:p>
    <w:p>
      <w:pPr>
        <w:keepNext/>
        <w:spacing w:before="320" w:after="120"/>
      </w:pPr>
      <w:r>
        <w:rPr>
          <w:b/>
          <w:color w:val="0F172A"/>
          <w:sz w:val="32"/>
        </w:rPr>
        <w:t>3. Comprehensive Audit Scope (68+ Deterministic Rules)</w:t>
      </w:r>
    </w:p>
    <w:p>
      <w:r>
        <w:t>The engine deterministically checks websites across 7 core categories:</w:t>
      </w:r>
    </w:p>
    <w:tbl>
      <w:tblPr>
        <w:tblW w:type="auto" w:w="0"/>
        <w:jc w:val="center"/>
        <w:tblLook w:firstColumn="1" w:firstRow="1" w:lastColumn="0" w:lastRow="0" w:noHBand="0" w:noVBand="1" w:val="04A0"/>
      </w:tblPr>
      <w:tblGrid>
        <w:gridCol w:w="4680"/>
        <w:gridCol w:w="4680"/>
      </w:tblGrid>
      <w:tr>
        <w:tc>
          <w:tcPr>
            <w:tcW w:type="dxa" w:w="4680"/>
            <w:shd w:fill="0F172A"/>
            <w:tcMar>
              <w:top w:w="100" w:type="dxa"/>
              <w:bottom w:w="100" w:type="dxa"/>
              <w:left w:w="120" w:type="dxa"/>
              <w:right w:w="120" w:type="dxa"/>
            </w:tcMar>
          </w:tcPr>
          <w:p>
            <w:r>
              <w:rPr>
                <w:b/>
                <w:color w:val="FFFFFF"/>
                <w:sz w:val="20"/>
              </w:rPr>
              <w:t>Category</w:t>
            </w:r>
          </w:p>
        </w:tc>
        <w:tc>
          <w:tcPr>
            <w:tcW w:type="dxa" w:w="4680"/>
            <w:shd w:fill="0F172A"/>
            <w:tcMar>
              <w:top w:w="100" w:type="dxa"/>
              <w:bottom w:w="100" w:type="dxa"/>
              <w:left w:w="120" w:type="dxa"/>
              <w:right w:w="120" w:type="dxa"/>
            </w:tcMar>
          </w:tcPr>
          <w:p>
            <w:r>
              <w:rPr>
                <w:b/>
                <w:color w:val="FFFFFF"/>
                <w:sz w:val="20"/>
              </w:rPr>
              <w:t>Specific Technical Checks Performed</w:t>
            </w:r>
          </w:p>
        </w:tc>
      </w:tr>
      <w:tr>
        <w:tc>
          <w:tcPr>
            <w:tcW w:type="dxa" w:w="4680"/>
            <w:tcMar>
              <w:top w:w="80" w:type="dxa"/>
              <w:bottom w:w="80" w:type="dxa"/>
              <w:left w:w="120" w:type="dxa"/>
              <w:right w:w="120" w:type="dxa"/>
            </w:tcMar>
            <w:shd w:fill="F1F5F9"/>
          </w:tcPr>
          <w:p>
            <w:r>
              <w:rPr>
                <w:b/>
                <w:color w:val="0F172A"/>
                <w:sz w:val="19"/>
              </w:rPr>
              <w:t>1. Technical SEO</w:t>
            </w:r>
          </w:p>
        </w:tc>
        <w:tc>
          <w:tcPr>
            <w:tcW w:type="dxa" w:w="4680"/>
            <w:tcMar>
              <w:top w:w="80" w:type="dxa"/>
              <w:bottom w:w="80" w:type="dxa"/>
              <w:left w:w="120" w:type="dxa"/>
              <w:right w:w="120" w:type="dxa"/>
            </w:tcMar>
            <w:shd w:fill="FFFFFF"/>
          </w:tcPr>
          <w:p>
            <w:r>
              <w:rPr>
                <w:sz w:val="19"/>
              </w:rPr>
              <w:t>• Broken internal links (4xx) &amp; server errors (5xx)</w:t>
              <w:br/>
              <w:t>• Redirect chains (2+ hops that waste crawl budget)</w:t>
              <w:br/>
              <w:t>• Robots.txt indexing blockers &amp; missing directives</w:t>
              <w:br/>
              <w:t>• XML Sitemap validation &amp; orphan page detection</w:t>
              <w:br/>
              <w:t>• Canonical issues (missing, conflicting, or split authority)</w:t>
              <w:br/>
              <w:t>• Soft 404 detection (missing pages returning 200 OK)</w:t>
            </w:r>
          </w:p>
        </w:tc>
      </w:tr>
      <w:tr>
        <w:tc>
          <w:tcPr>
            <w:tcW w:type="dxa" w:w="4680"/>
            <w:tcMar>
              <w:top w:w="80" w:type="dxa"/>
              <w:bottom w:w="80" w:type="dxa"/>
              <w:left w:w="120" w:type="dxa"/>
              <w:right w:w="120" w:type="dxa"/>
            </w:tcMar>
            <w:shd w:fill="F1F5F9"/>
          </w:tcPr>
          <w:p>
            <w:r>
              <w:rPr>
                <w:b/>
                <w:color w:val="0F172A"/>
                <w:sz w:val="19"/>
              </w:rPr>
              <w:t>2. On-Page SEO</w:t>
            </w:r>
          </w:p>
        </w:tc>
        <w:tc>
          <w:tcPr>
            <w:tcW w:type="dxa" w:w="4680"/>
            <w:tcMar>
              <w:top w:w="80" w:type="dxa"/>
              <w:bottom w:w="80" w:type="dxa"/>
              <w:left w:w="120" w:type="dxa"/>
              <w:right w:w="120" w:type="dxa"/>
            </w:tcMar>
            <w:shd w:fill="FFFFFF"/>
          </w:tcPr>
          <w:p>
            <w:r>
              <w:rPr>
                <w:sz w:val="19"/>
              </w:rPr>
              <w:t>• Page Title optimization (missing, duplicate, length)</w:t>
              <w:br/>
              <w:t>• Meta Descriptions (missing, duplicate, snippet truncation)</w:t>
              <w:br/>
              <w:t>• H1 tag hierarchy &amp; duplicate H1 detection</w:t>
              <w:br/>
              <w:t>• Image Alt text coverage for search &amp; accessibility</w:t>
            </w:r>
          </w:p>
        </w:tc>
      </w:tr>
      <w:tr>
        <w:tc>
          <w:tcPr>
            <w:tcW w:type="dxa" w:w="4680"/>
            <w:tcMar>
              <w:top w:w="80" w:type="dxa"/>
              <w:bottom w:w="80" w:type="dxa"/>
              <w:left w:w="120" w:type="dxa"/>
              <w:right w:w="120" w:type="dxa"/>
            </w:tcMar>
            <w:shd w:fill="F1F5F9"/>
          </w:tcPr>
          <w:p>
            <w:r>
              <w:rPr>
                <w:b/>
                <w:color w:val="0F172A"/>
                <w:sz w:val="19"/>
              </w:rPr>
              <w:t>3. Content Quality</w:t>
            </w:r>
          </w:p>
        </w:tc>
        <w:tc>
          <w:tcPr>
            <w:tcW w:type="dxa" w:w="4680"/>
            <w:tcMar>
              <w:top w:w="80" w:type="dxa"/>
              <w:bottom w:w="80" w:type="dxa"/>
              <w:left w:w="120" w:type="dxa"/>
              <w:right w:w="120" w:type="dxa"/>
            </w:tcMar>
            <w:shd w:fill="FFFFFF"/>
          </w:tcPr>
          <w:p>
            <w:r>
              <w:rPr>
                <w:sz w:val="19"/>
              </w:rPr>
              <w:t>• Thin content evaluation (low word count detection)</w:t>
              <w:br/>
              <w:t>• Simhash-based near-duplicate copy identification</w:t>
              <w:br/>
              <w:t>• Text-to-HTML ratio and content structure</w:t>
            </w:r>
          </w:p>
        </w:tc>
      </w:tr>
      <w:tr>
        <w:tc>
          <w:tcPr>
            <w:tcW w:type="dxa" w:w="4680"/>
            <w:tcMar>
              <w:top w:w="80" w:type="dxa"/>
              <w:bottom w:w="80" w:type="dxa"/>
              <w:left w:w="120" w:type="dxa"/>
              <w:right w:w="120" w:type="dxa"/>
            </w:tcMar>
            <w:shd w:fill="F1F5F9"/>
          </w:tcPr>
          <w:p>
            <w:r>
              <w:rPr>
                <w:b/>
                <w:color w:val="0F172A"/>
                <w:sz w:val="19"/>
              </w:rPr>
              <w:t>4. Speed &amp; Performance</w:t>
            </w:r>
          </w:p>
        </w:tc>
        <w:tc>
          <w:tcPr>
            <w:tcW w:type="dxa" w:w="4680"/>
            <w:tcMar>
              <w:top w:w="80" w:type="dxa"/>
              <w:bottom w:w="80" w:type="dxa"/>
              <w:left w:w="120" w:type="dxa"/>
              <w:right w:w="120" w:type="dxa"/>
            </w:tcMar>
            <w:shd w:fill="FFFFFF"/>
          </w:tcPr>
          <w:p>
            <w:r>
              <w:rPr>
                <w:sz w:val="19"/>
              </w:rPr>
              <w:t>• Google PageSpeed Insights lab data integration</w:t>
              <w:br/>
              <w:t>• Chrome UX Report (CrUX) field data across mobile/desktop</w:t>
              <w:br/>
              <w:t>• Core Web Vitals (LCP, INP/FID, CLS) tracking</w:t>
              <w:br/>
              <w:t>• Asset weight and compression audits</w:t>
            </w:r>
          </w:p>
        </w:tc>
      </w:tr>
      <w:tr>
        <w:tc>
          <w:tcPr>
            <w:tcW w:type="dxa" w:w="4680"/>
            <w:tcMar>
              <w:top w:w="80" w:type="dxa"/>
              <w:bottom w:w="80" w:type="dxa"/>
              <w:left w:w="120" w:type="dxa"/>
              <w:right w:w="120" w:type="dxa"/>
            </w:tcMar>
            <w:shd w:fill="F1F5F9"/>
          </w:tcPr>
          <w:p>
            <w:r>
              <w:rPr>
                <w:b/>
                <w:color w:val="0F172A"/>
                <w:sz w:val="19"/>
              </w:rPr>
              <w:t>5. Mobile &amp; UX</w:t>
            </w:r>
          </w:p>
        </w:tc>
        <w:tc>
          <w:tcPr>
            <w:tcW w:type="dxa" w:w="4680"/>
            <w:tcMar>
              <w:top w:w="80" w:type="dxa"/>
              <w:bottom w:w="80" w:type="dxa"/>
              <w:left w:w="120" w:type="dxa"/>
              <w:right w:w="120" w:type="dxa"/>
            </w:tcMar>
            <w:shd w:fill="FFFFFF"/>
          </w:tcPr>
          <w:p>
            <w:r>
              <w:rPr>
                <w:sz w:val="19"/>
              </w:rPr>
              <w:t>• Mobile Viewport responsive configuration</w:t>
              <w:br/>
              <w:t>• axe-core WCAG 2.1 AA accessibility scans (color contrast, touch targets, accessible form labels)</w:t>
            </w:r>
          </w:p>
        </w:tc>
      </w:tr>
      <w:tr>
        <w:tc>
          <w:tcPr>
            <w:tcW w:type="dxa" w:w="4680"/>
            <w:tcMar>
              <w:top w:w="80" w:type="dxa"/>
              <w:bottom w:w="80" w:type="dxa"/>
              <w:left w:w="120" w:type="dxa"/>
              <w:right w:w="120" w:type="dxa"/>
            </w:tcMar>
            <w:shd w:fill="F1F5F9"/>
          </w:tcPr>
          <w:p>
            <w:r>
              <w:rPr>
                <w:b/>
                <w:color w:val="0F172A"/>
                <w:sz w:val="19"/>
              </w:rPr>
              <w:t>6. Security &amp; Infrastructure</w:t>
            </w:r>
          </w:p>
        </w:tc>
        <w:tc>
          <w:tcPr>
            <w:tcW w:type="dxa" w:w="4680"/>
            <w:tcMar>
              <w:top w:w="80" w:type="dxa"/>
              <w:bottom w:w="80" w:type="dxa"/>
              <w:left w:w="120" w:type="dxa"/>
              <w:right w:w="120" w:type="dxa"/>
            </w:tcMar>
            <w:shd w:fill="FFFFFF"/>
          </w:tcPr>
          <w:p>
            <w:r>
              <w:rPr>
                <w:sz w:val="19"/>
              </w:rPr>
              <w:t>• HTTPS &amp; TLS Certificate passive validity &amp; expiration</w:t>
              <w:br/>
              <w:t>• HTTP-to-HTTPS redirect enforcement</w:t>
              <w:br/>
              <w:t>• SPF &amp; DMARC DNS email authentication (anti-spoofing)</w:t>
            </w:r>
          </w:p>
        </w:tc>
      </w:tr>
      <w:tr>
        <w:tc>
          <w:tcPr>
            <w:tcW w:type="dxa" w:w="4680"/>
            <w:tcMar>
              <w:top w:w="80" w:type="dxa"/>
              <w:bottom w:w="80" w:type="dxa"/>
              <w:left w:w="120" w:type="dxa"/>
              <w:right w:w="120" w:type="dxa"/>
            </w:tcMar>
            <w:shd w:fill="F1F5F9"/>
          </w:tcPr>
          <w:p>
            <w:r>
              <w:rPr>
                <w:b/>
                <w:color w:val="0F172A"/>
                <w:sz w:val="19"/>
              </w:rPr>
              <w:t>7. Structured Data &amp; Social</w:t>
            </w:r>
          </w:p>
        </w:tc>
        <w:tc>
          <w:tcPr>
            <w:tcW w:type="dxa" w:w="4680"/>
            <w:tcMar>
              <w:top w:w="80" w:type="dxa"/>
              <w:bottom w:w="80" w:type="dxa"/>
              <w:left w:w="120" w:type="dxa"/>
              <w:right w:w="120" w:type="dxa"/>
            </w:tcMar>
            <w:shd w:fill="FFFFFF"/>
          </w:tcPr>
          <w:p>
            <w:r>
              <w:rPr>
                <w:sz w:val="19"/>
              </w:rPr>
              <w:t>• OpenGraph (OG) meta tags for social previews</w:t>
              <w:br/>
              <w:t>• Schema.org validation (Organization, LocalBusiness, FAQ, Product, Article)</w:t>
            </w:r>
          </w:p>
        </w:tc>
      </w:tr>
    </w:tbl>
    <w:p/>
    <w:p>
      <w:pPr>
        <w:keepNext/>
        <w:spacing w:before="320" w:after="120"/>
      </w:pPr>
      <w:r>
        <w:rPr>
          <w:b/>
          <w:color w:val="0F172A"/>
          <w:sz w:val="32"/>
        </w:rPr>
        <w:t>4. DevOps &amp; Cloud Deployment Case Study (Vercel Serverless)</w:t>
      </w:r>
    </w:p>
    <w:p>
      <w:r>
        <w:t>Deploying this multi-agent crawler to Vercel provided substantial hands-on experience in debugging complex production serverless environments. Four major challenges were systematically diagnosed and resolved:</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100" w:type="dxa"/>
              <w:bottom w:w="100" w:type="dxa"/>
              <w:left w:w="100" w:type="dxa"/>
              <w:right w:w="100" w:type="dxa"/>
            </w:tcMar>
          </w:tcPr>
          <w:p>
            <w:r>
              <w:rPr>
                <w:b/>
                <w:color w:val="FFFFFF"/>
                <w:sz w:val="19"/>
              </w:rPr>
              <w:t>Challenge / Error</w:t>
            </w:r>
          </w:p>
        </w:tc>
        <w:tc>
          <w:tcPr>
            <w:tcW w:type="dxa" w:w="3120"/>
            <w:shd w:fill="0F172A"/>
            <w:tcMar>
              <w:top w:w="100" w:type="dxa"/>
              <w:bottom w:w="100" w:type="dxa"/>
              <w:left w:w="100" w:type="dxa"/>
              <w:right w:w="100" w:type="dxa"/>
            </w:tcMar>
          </w:tcPr>
          <w:p>
            <w:r>
              <w:rPr>
                <w:b/>
                <w:color w:val="FFFFFF"/>
                <w:sz w:val="19"/>
              </w:rPr>
              <w:t>Root Cause Analysis</w:t>
            </w:r>
          </w:p>
        </w:tc>
        <w:tc>
          <w:tcPr>
            <w:tcW w:type="dxa" w:w="3120"/>
            <w:shd w:fill="0F172A"/>
            <w:tcMar>
              <w:top w:w="100" w:type="dxa"/>
              <w:bottom w:w="100" w:type="dxa"/>
              <w:left w:w="100" w:type="dxa"/>
              <w:right w:w="100" w:type="dxa"/>
            </w:tcMar>
          </w:tcPr>
          <w:p>
            <w:r>
              <w:rPr>
                <w:b/>
                <w:color w:val="FFFFFF"/>
                <w:sz w:val="19"/>
              </w:rPr>
              <w:t>Engineering Solution</w:t>
            </w:r>
          </w:p>
        </w:tc>
      </w:tr>
      <w:tr>
        <w:tc>
          <w:tcPr>
            <w:tcW w:type="dxa" w:w="3120"/>
            <w:tcMar>
              <w:top w:w="80" w:type="dxa"/>
              <w:bottom w:w="80" w:type="dxa"/>
              <w:left w:w="100" w:type="dxa"/>
              <w:right w:w="100" w:type="dxa"/>
            </w:tcMar>
            <w:shd w:fill="F8FAFC"/>
          </w:tcPr>
          <w:p>
            <w:r>
              <w:rPr>
                <w:b/>
                <w:color w:val="0F172A"/>
                <w:sz w:val="18"/>
              </w:rPr>
              <w:t>PYTHON_ENTRYPOINT_NOT_FOUND</w:t>
              <w:br/>
              <w:t>(tests/test_audit.py Handler detected)</w:t>
            </w:r>
          </w:p>
        </w:tc>
        <w:tc>
          <w:tcPr>
            <w:tcW w:type="dxa" w:w="3120"/>
            <w:tcMar>
              <w:top w:w="80" w:type="dxa"/>
              <w:bottom w:w="80" w:type="dxa"/>
              <w:left w:w="100" w:type="dxa"/>
              <w:right w:w="100" w:type="dxa"/>
            </w:tcMar>
            <w:shd w:fill="FFFFFF"/>
          </w:tcPr>
          <w:p>
            <w:r>
              <w:rPr>
                <w:sz w:val="18"/>
              </w:rPr>
              <w:t>Code was located in a subdirectory without an api/ directory. Vercel fell back to finding a mock Handler class inside unit tests.</w:t>
            </w:r>
          </w:p>
        </w:tc>
        <w:tc>
          <w:tcPr>
            <w:tcW w:type="dxa" w:w="3120"/>
            <w:tcMar>
              <w:top w:w="80" w:type="dxa"/>
              <w:bottom w:w="80" w:type="dxa"/>
              <w:left w:w="100" w:type="dxa"/>
              <w:right w:w="100" w:type="dxa"/>
            </w:tcMar>
            <w:shd w:fill="FFFFFF"/>
          </w:tcPr>
          <w:p>
            <w:r>
              <w:rPr>
                <w:sz w:val="18"/>
              </w:rPr>
              <w:t>Created standard api/index.py entrypoints and unified project root structure for zero-config ASGI discovery.</w:t>
            </w:r>
          </w:p>
        </w:tc>
      </w:tr>
      <w:tr>
        <w:tc>
          <w:tcPr>
            <w:tcW w:type="dxa" w:w="3120"/>
            <w:tcMar>
              <w:top w:w="80" w:type="dxa"/>
              <w:bottom w:w="80" w:type="dxa"/>
              <w:left w:w="100" w:type="dxa"/>
              <w:right w:w="100" w:type="dxa"/>
            </w:tcMar>
            <w:shd w:fill="F8FAFC"/>
          </w:tcPr>
          <w:p>
            <w:r>
              <w:rPr>
                <w:b/>
                <w:color w:val="0F172A"/>
                <w:sz w:val="18"/>
              </w:rPr>
              <w:t>500 FUNCTION_INVOCATION_FAILED</w:t>
              <w:br/>
              <w:t>(TypeError: missing 1 required arg 'send')</w:t>
            </w:r>
          </w:p>
        </w:tc>
        <w:tc>
          <w:tcPr>
            <w:tcW w:type="dxa" w:w="3120"/>
            <w:tcMar>
              <w:top w:w="80" w:type="dxa"/>
              <w:bottom w:w="80" w:type="dxa"/>
              <w:left w:w="100" w:type="dxa"/>
              <w:right w:w="100" w:type="dxa"/>
            </w:tcMar>
            <w:shd w:fill="FFFFFF"/>
          </w:tcPr>
          <w:p>
            <w:r>
              <w:rPr>
                <w:sz w:val="18"/>
              </w:rPr>
              <w:t>An alias handler = app caused Vercel's runtime to treat the ASGI app as a 2-arg AWS Lambda handler (handler(event, context)), conflicting with ASGI's 3-arg signature (scope, receive, send).</w:t>
            </w:r>
          </w:p>
        </w:tc>
        <w:tc>
          <w:tcPr>
            <w:tcW w:type="dxa" w:w="3120"/>
            <w:tcMar>
              <w:top w:w="80" w:type="dxa"/>
              <w:bottom w:w="80" w:type="dxa"/>
              <w:left w:w="100" w:type="dxa"/>
              <w:right w:w="100" w:type="dxa"/>
            </w:tcMar>
            <w:shd w:fill="FFFFFF"/>
          </w:tcPr>
          <w:p>
            <w:r>
              <w:rPr>
                <w:sz w:val="18"/>
              </w:rPr>
              <w:t>Removed handler alias and exposed app = FastAPI() directly for native ASGI execution.</w:t>
            </w:r>
          </w:p>
        </w:tc>
      </w:tr>
      <w:tr>
        <w:tc>
          <w:tcPr>
            <w:tcW w:type="dxa" w:w="3120"/>
            <w:tcMar>
              <w:top w:w="80" w:type="dxa"/>
              <w:bottom w:w="80" w:type="dxa"/>
              <w:left w:w="100" w:type="dxa"/>
              <w:right w:w="100" w:type="dxa"/>
            </w:tcMar>
            <w:shd w:fill="F8FAFC"/>
          </w:tcPr>
          <w:p>
            <w:r>
              <w:rPr>
                <w:b/>
                <w:color w:val="0F172A"/>
                <w:sz w:val="18"/>
              </w:rPr>
              <w:t>ModuleNotFoundError: No module named 'fastapi'</w:t>
            </w:r>
          </w:p>
        </w:tc>
        <w:tc>
          <w:tcPr>
            <w:tcW w:type="dxa" w:w="3120"/>
            <w:tcMar>
              <w:top w:w="80" w:type="dxa"/>
              <w:bottom w:w="80" w:type="dxa"/>
              <w:left w:w="100" w:type="dxa"/>
              <w:right w:w="100" w:type="dxa"/>
            </w:tcMar>
            <w:shd w:fill="FFFFFF"/>
          </w:tcPr>
          <w:p>
            <w:r>
              <w:rPr>
                <w:sz w:val="18"/>
              </w:rPr>
              <w:t>Modern Vercel uses the uv package manager. When pyproject.toml is present, uv prioritizes it and ignores requirements.txt. FastAPI was missing in pyproject.toml.</w:t>
            </w:r>
          </w:p>
        </w:tc>
        <w:tc>
          <w:tcPr>
            <w:tcW w:type="dxa" w:w="3120"/>
            <w:tcMar>
              <w:top w:w="80" w:type="dxa"/>
              <w:bottom w:w="80" w:type="dxa"/>
              <w:left w:w="100" w:type="dxa"/>
              <w:right w:w="100" w:type="dxa"/>
            </w:tcMar>
            <w:shd w:fill="FFFFFF"/>
          </w:tcPr>
          <w:p>
            <w:r>
              <w:rPr>
                <w:sz w:val="18"/>
              </w:rPr>
              <w:t>Added fastapi&gt;=0.110.0 to the PEP 621 dependencies array in pyproject.toml at both root and subfolder levels.</w:t>
            </w:r>
          </w:p>
        </w:tc>
      </w:tr>
      <w:tr>
        <w:tc>
          <w:tcPr>
            <w:tcW w:type="dxa" w:w="3120"/>
            <w:tcMar>
              <w:top w:w="80" w:type="dxa"/>
              <w:bottom w:w="80" w:type="dxa"/>
              <w:left w:w="100" w:type="dxa"/>
              <w:right w:w="100" w:type="dxa"/>
            </w:tcMar>
            <w:shd w:fill="F8FAFC"/>
          </w:tcPr>
          <w:p>
            <w:r>
              <w:rPr>
                <w:b/>
                <w:color w:val="0F172A"/>
                <w:sz w:val="18"/>
              </w:rPr>
              <w:t>Unexpected token '&lt;'</w:t>
              <w:br/>
              <w:t>(HTML returned for /api/audit)</w:t>
            </w:r>
          </w:p>
        </w:tc>
        <w:tc>
          <w:tcPr>
            <w:tcW w:type="dxa" w:w="3120"/>
            <w:tcMar>
              <w:top w:w="80" w:type="dxa"/>
              <w:bottom w:w="80" w:type="dxa"/>
              <w:left w:w="100" w:type="dxa"/>
              <w:right w:w="100" w:type="dxa"/>
            </w:tcMar>
            <w:shd w:fill="FFFFFF"/>
          </w:tcPr>
          <w:p>
            <w:r>
              <w:rPr>
                <w:sz w:val="18"/>
              </w:rPr>
              <w:t>Rewrites in vercel.json used /api/(.*) without wildcards, stripping subpaths and routing API requests to /api/index.py which served HTML.</w:t>
            </w:r>
          </w:p>
        </w:tc>
        <w:tc>
          <w:tcPr>
            <w:tcW w:type="dxa" w:w="3120"/>
            <w:tcMar>
              <w:top w:w="80" w:type="dxa"/>
              <w:bottom w:w="80" w:type="dxa"/>
              <w:left w:w="100" w:type="dxa"/>
              <w:right w:w="100" w:type="dxa"/>
            </w:tcMar>
            <w:shd w:fill="FFFFFF"/>
          </w:tcPr>
          <w:p>
            <w:r>
              <w:rPr>
                <w:sz w:val="18"/>
              </w:rPr>
              <w:t>Configured wildcard path preservation (/api/:path*) in vercel.json and separated API routers from the HTML dashboard.</w:t>
            </w:r>
          </w:p>
        </w:tc>
      </w:tr>
    </w:tbl>
    <w:p/>
    <w:p>
      <w:pPr>
        <w:keepNext/>
        <w:spacing w:before="320" w:after="120"/>
      </w:pPr>
      <w:r>
        <w:rPr>
          <w:b/>
          <w:color w:val="0F172A"/>
          <w:sz w:val="32"/>
        </w:rPr>
        <w:t>5. Commercial Value &amp; Agency ROI</w:t>
      </w:r>
    </w:p>
    <w:p>
      <w:pPr>
        <w:pStyle w:val="ListBullet"/>
      </w:pPr>
      <w:r>
        <w:rPr>
          <w:b/>
        </w:rPr>
        <w:t xml:space="preserve">Massive Time Savings: </w:t>
      </w:r>
      <w:r>
        <w:t>Reduces technical discovery time from 4–6 manual hours per client to under 15 seconds, enabling instantaneous lead qualification.</w:t>
      </w:r>
    </w:p>
    <w:p>
      <w:pPr>
        <w:pStyle w:val="ListBullet"/>
      </w:pPr>
      <w:r>
        <w:rPr>
          <w:b/>
        </w:rPr>
        <w:t xml:space="preserve">Automated Revenue Quoting: </w:t>
      </w:r>
      <w:r>
        <w:t>Fixer agents calculate effort hours for every verified issue and multiply by agency hourly rates (default ₹1,000/hr) to output an instant commercial proposal.</w:t>
      </w:r>
    </w:p>
    <w:p>
      <w:pPr>
        <w:pStyle w:val="ListBullet"/>
      </w:pPr>
      <w:r>
        <w:rPr>
          <w:b/>
        </w:rPr>
        <w:t xml:space="preserve">Higher Sales Conversion: </w:t>
      </w:r>
      <w:r>
        <w:t>Translates dry technical jargon into plain-English business consequences for sales teams (e.g. '14 redirect chains are burning 30% of your crawl budget and slowing mobile visitors').</w:t>
      </w:r>
    </w:p>
    <w:p>
      <w:pPr>
        <w:pStyle w:val="ListBullet"/>
      </w:pPr>
      <w:r>
        <w:rPr>
          <w:b/>
        </w:rPr>
        <w:t xml:space="preserve">Actionable Developer Fix Packs: </w:t>
      </w:r>
      <w:r>
        <w:t>Exports clear tickets with URL lists and suggested code snippets, eliminating client-to-developer miscommunications.</w:t>
      </w:r>
    </w:p>
    <w:p>
      <w:pPr>
        <w:keepNext/>
        <w:spacing w:before="320" w:after="120"/>
      </w:pPr>
      <w:r>
        <w:rPr>
          <w:b/>
          <w:color w:val="0F172A"/>
          <w:sz w:val="32"/>
        </w:rPr>
        <w:t>6. Conclusion &amp; Roadmap</w:t>
      </w:r>
    </w:p>
    <w:p>
      <w:r>
        <w:t>Working on the Spearmint Audit Agent has provided deep engineering competencies across autonomous agent design, deterministic crawler mechanics, FastMCP tool servers, and production serverless cloud deployment. Future enhancements include introducing distributed task queues (Celery/Redis) for 2,000+ page enterprise crawls and persistent PostgreSQL storage for longitudinal audit tracking.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