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51560" cy="917486"/>
            <wp:docPr id="1" name="Picture 1"/>
            <wp:cNvGraphicFramePr>
              <a:graphicFrameLocks noChangeAspect="1"/>
            </wp:cNvGraphicFramePr>
            <a:graphic>
              <a:graphicData uri="http://schemas.openxmlformats.org/drawingml/2006/picture">
                <pic:pic>
                  <pic:nvPicPr>
                    <pic:cNvPr id="0" name="electrocom-logo.png"/>
                    <pic:cNvPicPr/>
                  </pic:nvPicPr>
                  <pic:blipFill>
                    <a:blip r:embed="rId9"/>
                    <a:stretch>
                      <a:fillRect/>
                    </a:stretch>
                  </pic:blipFill>
                  <pic:spPr>
                    <a:xfrm>
                      <a:off x="0" y="0"/>
                      <a:ext cx="1051560" cy="917486"/>
                    </a:xfrm>
                    <a:prstGeom prst="rect"/>
                  </pic:spPr>
                </pic:pic>
              </a:graphicData>
            </a:graphic>
          </wp:inline>
        </w:drawing>
      </w:r>
    </w:p>
    <w:p>
      <w:pPr>
        <w:pStyle w:val="Heading1"/>
      </w:pPr>
      <w:r>
        <w:t>ElectroCom response to the LORiMDT Clinical Governance Platform RFI</w:t>
      </w:r>
    </w:p>
    <w:p>
      <w:r>
        <w:rPr>
          <w:b/>
        </w:rPr>
        <w:t>Submitted to:</w:t>
      </w:r>
      <w:r>
        <w:t xml:space="preserve"> Casi M. Vician, Founder &amp; CEO,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 And because we would rather you test us than take our word, we have proposed a short paid discovery sprint (Section 2.7, Q36) so you can watch us work before the full build commits.</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Team: 11+ across engineering, data science, and DevOps, of whom 6 have worked on our current healthcare SaaS engagement. We are privately held and services-profitable; we are not disclosing revenue figures at the RFI stage. Our PHI controls and data-residency approach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structured clinical reporting and diagnostic-report analysis, appointment scheduling, and staff rostering, on real clinical data. Our data team has hands-on experience turning clinical reports into structured, analyzable data, which maps directly to LORiMDT's registry-quality capture.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with a day-one availability target around 98% maturing toward the five-nines objective by general availability (your FAQ Q46). We commit to an RPO of 15 minutes or less and an RTO of 4 hours or less at pilot, tightening as the platform matures, and we will align to the uniform RPO/RTO you publish for all vendors.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client-governed, and the audit trail (Q21) covers PHI access. Production PHI is processed only in the US environment.</w:t>
      </w:r>
    </w:p>
    <w:p>
      <w:r>
        <w:rPr>
          <w:b/>
        </w:rPr>
        <w:t>23. Certifications.</w:t>
      </w:r>
    </w:p>
    <w:p>
      <w:r>
        <w:t>We will be direct: ElectroCom does not currently hold SOC 2 Type II, HITRUST, or ISO 27001. What we do is build to the controls those frameworks specify (encryption, least-privilege access, audit logging, change management, and BAAs), and we will commit contractually to achieving SOC 2 Type II within 12 months of contract signing, with ISO 27001 for our delivery operations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Production PHI resides in US AWS regions. The application, its database, and its authentication endpoints deploy to your US-region AWS account, enforced by region restriction, network controls, and IAM policy (your FAQ Q48).</w:t>
      </w:r>
    </w:p>
    <w:p>
      <w:r>
        <w:t>Disclosure, per your FAQ Q57 and Q59: ElectroCom's engineering team works from our Multan, Pakistan office, and our US entity and engagement accountability sit at our Celina, Texas headquarters. We state that plainly rather than implying a US-resident engineering bench we do not have.</w:t>
      </w:r>
    </w:p>
    <w:p>
      <w:r>
        <w:t>The control that matters is not where engineers sit but who can reach production PHI:</w:t>
      </w:r>
    </w:p>
    <w:p>
      <w:pPr>
        <w:pStyle w:val="ListBullet"/>
      </w:pPr>
      <w:r>
        <w:t>No standing human access to production. Deployment is via CI/CD from version control, and engineers hold no interactive production credentials.</w:t>
      </w:r>
    </w:p>
    <w:p>
      <w:pPr>
        <w:pStyle w:val="ListBullet"/>
      </w:pPr>
      <w:r>
        <w:t>Development and testing run entirely against de-identified or synthetic data, never production PHI. That is the split your FAQ Q59 describes.</w:t>
      </w:r>
    </w:p>
    <w:p>
      <w:pPr>
        <w:pStyle w:val="ListBullet"/>
      </w:pPr>
      <w:r>
        <w:t>Break-glass access is time-boxed, individually attributed, Lucas Health Tech-approved, fully session-logged, and reachable only through a jump path you control.</w:t>
      </w:r>
    </w:p>
    <w:p>
      <w:pPr>
        <w:pStyle w:val="ListBullet"/>
      </w:pPr>
      <w:r>
        <w:t>Logs are PHI-scrubbed, so routine debugging never exposes patient data.</w:t>
      </w:r>
    </w:p>
    <w:p>
      <w:r>
        <w:t>If you require that every individual capable of break-glass access be US-resident, we will staff that role US-side and price it. Tell us and we will scope it directly rather than around it.</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We name a core of six as fully dedicated and additional engineers as allocated, so the pilot is not exposed if another engagement lands.</w:t>
      </w:r>
    </w:p>
    <w:p>
      <w:r>
        <w:t>Core, dedicated to the pilot:</w:t>
      </w:r>
    </w:p>
    <w:p>
      <w:pPr>
        <w:pStyle w:val="ListBullet"/>
      </w:pPr>
      <w:r>
        <w:t>Arslan Noor, CTO. Engagement lead and solution architect (AI and full-stack, frontier-AI experience). United States.</w:t>
      </w:r>
    </w:p>
    <w:p>
      <w:pPr>
        <w:pStyle w:val="ListBullet"/>
      </w:pPr>
      <w:r>
        <w:t>Haseeb Ilyaas. Backend and FHIR integration. Multan, PK.</w:t>
      </w:r>
    </w:p>
    <w:p>
      <w:pPr>
        <w:pStyle w:val="ListBullet"/>
      </w:pPr>
      <w:r>
        <w:t>Muhammad Husnain. Data engineering (longitudinal model, registry-quality capture). Multan, PK.</w:t>
      </w:r>
    </w:p>
    <w:p>
      <w:pPr>
        <w:pStyle w:val="ListBullet"/>
      </w:pPr>
      <w:r>
        <w:t>Umar Farooq. Data science and AI (note generation, AI-assisted capture). Multan, PK.</w:t>
      </w:r>
    </w:p>
    <w:p>
      <w:pPr>
        <w:pStyle w:val="ListBullet"/>
      </w:pPr>
      <w:r>
        <w:t>Bilal Arshad. DevOps and security (US AWS deployment, HIPAA controls, HA/DR). Multan, PK.</w:t>
      </w:r>
    </w:p>
    <w:p>
      <w:pPr>
        <w:pStyle w:val="ListBullet"/>
      </w:pPr>
      <w:r>
        <w:t>Zain Goraya. Senior full-stack. Multan, PK.</w:t>
      </w:r>
    </w:p>
    <w:p>
      <w:r>
        <w:t>Allocated as the work requires:</w:t>
      </w:r>
    </w:p>
    <w:p>
      <w:pPr>
        <w:pStyle w:val="ListBullet"/>
      </w:pPr>
      <w:r>
        <w:t>Noman Aijaz. Full-stack. Multan, PK.</w:t>
      </w:r>
    </w:p>
    <w:p>
      <w:pPr>
        <w:pStyle w:val="ListBullet"/>
      </w:pPr>
      <w:r>
        <w:t>Aadil Saeed, Shayan Ali. QA. Multan, PK.</w:t>
      </w:r>
    </w:p>
    <w:p>
      <w:pPr>
        <w:pStyle w:val="ListBullet"/>
      </w:pPr>
      <w:r>
        <w:t>Clinical and product liaison, working directly with your BA/product owner and Dr. Baker's group.</w:t>
      </w:r>
    </w:p>
    <w:p>
      <w:r>
        <w:t>Contracting entity and engagement accountability are US-based (Celina, TX). The engagement lead is US-based; all other named engineers work from our Pakistan office against de-identified data, per Q26.</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r>
        <w:t>Before you commit to the full build, we also offer a fixed-fee discovery sprint of two to three weeks at $20,000: a FHIR connectivity spike against a sandbox, the field-dictionary data model stood up, and one working clinical-handshake path. It is not additive to the schedule. It is the first two to three weeks of the Q27 sequence (your August discovery window), so it does not move the January go-live. If you proceed to the full build, the $20,000 is credited in full against the kickoff milestone, so it adds nothing to the $385,000. If you walk away at the end, you keep the artifacts and owe nothing further. Rather than ask you to take our references on faith, this lets you watch us work against your actual problem for three weeks before the larger commitment.</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Healthcare-sector clients we can name now:</w:t>
      </w:r>
    </w:p>
    <w:p>
      <w:r>
        <w:t xml:space="preserve">1. </w:t>
      </w:r>
      <w:r>
        <w:rPr>
          <w:b/>
        </w:rPr>
        <w:t>Sono Stat Imaging (Dallas-Fort Worth, Texas, US).</w:t>
      </w:r>
      <w:r>
        <w:t xml:space="preserve"> A US diagnostic medical-imaging provider covering cardiac, vascular, and general ultrasound. ElectroCom built and maintains their digital platform and operational systems. Contact: Iftikhar Saeed Khan, +1 210-422-0737, sonostatimaging@gmail.com.</w:t>
      </w:r>
    </w:p>
    <w:p>
      <w:r>
        <w:t xml:space="preserve">2.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Our closest match to LORiMDT is the clinical-platform client described in Sections 2.1, 8, 9, and Appendix B. We keep that client unnamed in this written response and make them available as a reference at the demo stage, where your process schedules reference checks (August 5 to 7).</w:t>
      </w:r>
    </w:p>
    <w:p>
      <w:r>
        <w:t>We also design internal and manufacturing-accuracy systems for health-product manufacturers, including CoreSpeed and PharmaBuilt (nutraceutical and supplement manufacturers; contact John Linss, +1 770-630-9956, jlinss@corespeed.com). We name these as data-integrity and systems-engineering work rather than clinical-workflow references, so each is weighed for what it is. The relevance to LORiMDT is the discipline they share with registry-quality capture: structured data, validation, and traceable accuracy in a regulated setting.</w:t>
      </w:r>
    </w:p>
    <w:p>
      <w:pPr>
        <w:pStyle w:val="Heading2"/>
      </w:pPr>
      <w:r>
        <w:t>Appendix A. Architecture</w:t>
      </w:r>
    </w:p>
    <w:p>
      <w:r>
        <w:t>Multi-tenant US AWS deployment, FHIR integration layer, and the three-tier capture model.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