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Hochschule der Wirtschaft für Management Mannheim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2007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ZUMA Nachrichten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Ashutosh Tamrakar, Rohit Ramachandran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CFD-DEM-PBM coupled model development and validation of a 3D top-spray fluidized bed wet granulation process.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