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D66D" w14:textId="77777777" w:rsidR="001506F8" w:rsidRDefault="00967787">
      <w:pPr>
        <w:spacing w:line="200" w:lineRule="exact"/>
        <w:rPr>
          <w:sz w:val="24"/>
          <w:szCs w:val="24"/>
        </w:rPr>
      </w:pPr>
      <w:bookmarkStart w:id="0" w:name="page1"/>
      <w:bookmarkEnd w:id="0"/>
      <w:r>
        <w:rPr>
          <w:noProof/>
          <w:sz w:val="24"/>
          <w:szCs w:val="24"/>
        </w:rPr>
        <w:drawing>
          <wp:anchor distT="0" distB="0" distL="114300" distR="114300" simplePos="0" relativeHeight="251657216" behindDoc="1" locked="0" layoutInCell="0" allowOverlap="1" wp14:anchorId="34BA60F8" wp14:editId="14E30D9F">
            <wp:simplePos x="0" y="0"/>
            <wp:positionH relativeFrom="page">
              <wp:posOffset>902525</wp:posOffset>
            </wp:positionH>
            <wp:positionV relativeFrom="page">
              <wp:posOffset>243444</wp:posOffset>
            </wp:positionV>
            <wp:extent cx="5754370" cy="27135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6728" cy="2719339"/>
                    </a:xfrm>
                    <a:prstGeom prst="rect">
                      <a:avLst/>
                    </a:prstGeom>
                    <a:noFill/>
                  </pic:spPr>
                </pic:pic>
              </a:graphicData>
            </a:graphic>
            <wp14:sizeRelV relativeFrom="margin">
              <wp14:pctHeight>0</wp14:pctHeight>
            </wp14:sizeRelV>
          </wp:anchor>
        </w:drawing>
      </w:r>
    </w:p>
    <w:p w14:paraId="7FD91B24" w14:textId="77777777" w:rsidR="001506F8" w:rsidRDefault="001506F8">
      <w:pPr>
        <w:spacing w:line="200" w:lineRule="exact"/>
        <w:rPr>
          <w:sz w:val="24"/>
          <w:szCs w:val="24"/>
        </w:rPr>
      </w:pPr>
    </w:p>
    <w:p w14:paraId="46F3248C" w14:textId="77777777" w:rsidR="001506F8" w:rsidRDefault="001506F8">
      <w:pPr>
        <w:spacing w:line="200" w:lineRule="exact"/>
        <w:rPr>
          <w:sz w:val="24"/>
          <w:szCs w:val="24"/>
        </w:rPr>
      </w:pPr>
    </w:p>
    <w:p w14:paraId="78CDDB0F" w14:textId="77777777" w:rsidR="001506F8" w:rsidRDefault="001506F8">
      <w:pPr>
        <w:spacing w:line="200" w:lineRule="exact"/>
        <w:rPr>
          <w:sz w:val="24"/>
          <w:szCs w:val="24"/>
        </w:rPr>
      </w:pPr>
    </w:p>
    <w:p w14:paraId="0C59C43D" w14:textId="77777777" w:rsidR="001506F8" w:rsidRDefault="001506F8">
      <w:pPr>
        <w:spacing w:line="200" w:lineRule="exact"/>
        <w:rPr>
          <w:sz w:val="24"/>
          <w:szCs w:val="24"/>
        </w:rPr>
      </w:pPr>
    </w:p>
    <w:p w14:paraId="6ACA2050" w14:textId="77777777" w:rsidR="001506F8" w:rsidRDefault="001506F8">
      <w:pPr>
        <w:spacing w:line="200" w:lineRule="exact"/>
        <w:rPr>
          <w:sz w:val="24"/>
          <w:szCs w:val="24"/>
        </w:rPr>
      </w:pPr>
    </w:p>
    <w:p w14:paraId="67469A31" w14:textId="77777777" w:rsidR="001506F8" w:rsidRDefault="001506F8">
      <w:pPr>
        <w:spacing w:line="200" w:lineRule="exact"/>
        <w:rPr>
          <w:sz w:val="24"/>
          <w:szCs w:val="24"/>
        </w:rPr>
      </w:pPr>
    </w:p>
    <w:p w14:paraId="1A9630D4" w14:textId="77777777" w:rsidR="001506F8" w:rsidRDefault="001506F8">
      <w:pPr>
        <w:spacing w:line="200" w:lineRule="exact"/>
        <w:rPr>
          <w:sz w:val="24"/>
          <w:szCs w:val="24"/>
        </w:rPr>
      </w:pPr>
    </w:p>
    <w:p w14:paraId="0EDC057E" w14:textId="77777777" w:rsidR="001506F8" w:rsidRDefault="001506F8">
      <w:pPr>
        <w:spacing w:line="200" w:lineRule="exact"/>
        <w:rPr>
          <w:sz w:val="24"/>
          <w:szCs w:val="24"/>
        </w:rPr>
      </w:pPr>
    </w:p>
    <w:p w14:paraId="29CB6966" w14:textId="77777777" w:rsidR="001506F8" w:rsidRDefault="001506F8">
      <w:pPr>
        <w:spacing w:line="200" w:lineRule="exact"/>
        <w:rPr>
          <w:sz w:val="24"/>
          <w:szCs w:val="24"/>
        </w:rPr>
      </w:pPr>
    </w:p>
    <w:p w14:paraId="7B97317D" w14:textId="77777777" w:rsidR="001506F8" w:rsidRDefault="001506F8">
      <w:pPr>
        <w:spacing w:line="200" w:lineRule="exact"/>
        <w:rPr>
          <w:sz w:val="24"/>
          <w:szCs w:val="24"/>
        </w:rPr>
      </w:pPr>
    </w:p>
    <w:p w14:paraId="72527487" w14:textId="77777777" w:rsidR="001506F8" w:rsidRDefault="001506F8">
      <w:pPr>
        <w:spacing w:line="200" w:lineRule="exact"/>
        <w:rPr>
          <w:sz w:val="24"/>
          <w:szCs w:val="24"/>
        </w:rPr>
      </w:pPr>
    </w:p>
    <w:p w14:paraId="604D6371" w14:textId="77777777" w:rsidR="001506F8" w:rsidRDefault="001506F8">
      <w:pPr>
        <w:spacing w:line="200" w:lineRule="exact"/>
        <w:rPr>
          <w:sz w:val="24"/>
          <w:szCs w:val="24"/>
        </w:rPr>
      </w:pPr>
    </w:p>
    <w:p w14:paraId="13ECBE65" w14:textId="77777777" w:rsidR="001506F8" w:rsidRDefault="001506F8">
      <w:pPr>
        <w:spacing w:line="200" w:lineRule="exact"/>
        <w:rPr>
          <w:sz w:val="24"/>
          <w:szCs w:val="24"/>
        </w:rPr>
      </w:pPr>
    </w:p>
    <w:p w14:paraId="7C50E215" w14:textId="77777777" w:rsidR="001506F8" w:rsidRDefault="001506F8">
      <w:pPr>
        <w:spacing w:line="200" w:lineRule="exact"/>
        <w:rPr>
          <w:sz w:val="24"/>
          <w:szCs w:val="24"/>
        </w:rPr>
      </w:pPr>
    </w:p>
    <w:p w14:paraId="45FE4513" w14:textId="77777777" w:rsidR="001506F8" w:rsidRDefault="001506F8">
      <w:pPr>
        <w:spacing w:line="200" w:lineRule="exact"/>
        <w:rPr>
          <w:sz w:val="24"/>
          <w:szCs w:val="24"/>
        </w:rPr>
      </w:pPr>
    </w:p>
    <w:p w14:paraId="46ACD713" w14:textId="77777777" w:rsidR="001506F8" w:rsidRDefault="001506F8">
      <w:pPr>
        <w:spacing w:line="200" w:lineRule="exact"/>
        <w:rPr>
          <w:sz w:val="24"/>
          <w:szCs w:val="24"/>
        </w:rPr>
      </w:pPr>
    </w:p>
    <w:p w14:paraId="43B63AD8" w14:textId="5CF346D3" w:rsidR="001506F8" w:rsidRPr="005777F0" w:rsidRDefault="00967787" w:rsidP="00F35A0A">
      <w:pPr>
        <w:tabs>
          <w:tab w:val="left" w:pos="3820"/>
          <w:tab w:val="left" w:pos="7280"/>
        </w:tabs>
        <w:jc w:val="center"/>
        <w:rPr>
          <w:sz w:val="20"/>
          <w:szCs w:val="20"/>
          <w:lang w:val="de-DE"/>
        </w:rPr>
      </w:pPr>
      <w:r>
        <w:rPr>
          <w:rFonts w:ascii="Arial" w:eastAsia="Arial" w:hAnsi="Arial" w:cs="Arial"/>
          <w:sz w:val="23"/>
          <w:szCs w:val="23"/>
        </w:rPr>
        <w:t>ISSN 1437-6148</w:t>
      </w:r>
    </w:p>
    <w:p w14:paraId="40FC52B3" w14:textId="3C3901BD" w:rsidR="001506F8" w:rsidRDefault="001506F8">
      <w:pPr>
        <w:spacing w:line="20" w:lineRule="exact"/>
        <w:rPr>
          <w:sz w:val="24"/>
          <w:szCs w:val="24"/>
        </w:rPr>
      </w:pPr>
    </w:p>
    <w:p w14:paraId="2AFD7BE3" w14:textId="72047BA2" w:rsidR="001506F8" w:rsidRDefault="00F35A0A">
      <w:pPr>
        <w:spacing w:line="376"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089892C6" wp14:editId="6FB3FFD3">
                <wp:simplePos x="0" y="0"/>
                <wp:positionH relativeFrom="column">
                  <wp:posOffset>-10984</wp:posOffset>
                </wp:positionH>
                <wp:positionV relativeFrom="paragraph">
                  <wp:posOffset>34158</wp:posOffset>
                </wp:positionV>
                <wp:extent cx="57677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770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7075E15"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5pt,2.7pt" to="45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" o:allowincell="f" filled="t" strokeweight=".48pt">
                <v:stroke joinstyle="miter"/>
                <o:lock v:ext="edit" shapetype="f"/>
              </v:line>
            </w:pict>
          </mc:Fallback>
        </mc:AlternateContent>
      </w:r>
    </w:p>
    <w:p w14:paraId="59868BA7" w14:textId="6F2C1651" w:rsidR="001506F8" w:rsidRDefault="00967787">
      <w:pPr>
        <w:ind w:right="20"/>
        <w:jc w:val="center"/>
        <w:rPr>
          <w:sz w:val="20"/>
          <w:szCs w:val="20"/>
        </w:rPr>
      </w:pPr>
      <w:r>
        <w:rPr>
          <w:rFonts w:eastAsia="Times New Roman"/>
          <w:b/>
          <w:bCs/>
          <w:sz w:val="36"/>
          <w:szCs w:val="36"/>
        </w:rPr>
        <w:t>Brasiliens</w:t>
      </w:r>
    </w:p>
    <w:p w14:paraId="19A87DDB" w14:textId="77777777" w:rsidR="001506F8" w:rsidRDefault="001506F8">
      <w:pPr>
        <w:spacing w:line="223" w:lineRule="exact"/>
        <w:rPr>
          <w:sz w:val="24"/>
          <w:szCs w:val="24"/>
        </w:rPr>
      </w:pPr>
    </w:p>
    <w:p w14:paraId="6FF0FB85" w14:textId="77777777" w:rsidR="001506F8" w:rsidRDefault="00967787">
      <w:pPr>
        <w:ind w:right="20"/>
        <w:jc w:val="center"/>
        <w:rPr>
          <w:sz w:val="20"/>
          <w:szCs w:val="20"/>
        </w:rPr>
      </w:pPr>
      <w:r>
        <w:rPr>
          <w:rFonts w:eastAsia="Times New Roman"/>
          <w:b/>
          <w:bCs/>
          <w:sz w:val="24"/>
          <w:szCs w:val="24"/>
        </w:rPr>
        <w:t>Gilberto Calcagnotto</w:t>
      </w:r>
    </w:p>
    <w:p w14:paraId="0AEE09AB" w14:textId="77777777" w:rsidR="001506F8" w:rsidRDefault="001506F8">
      <w:pPr>
        <w:spacing w:line="92" w:lineRule="exact"/>
        <w:rPr>
          <w:sz w:val="24"/>
          <w:szCs w:val="24"/>
        </w:rPr>
      </w:pPr>
    </w:p>
    <w:p w14:paraId="68F58B68" w14:textId="77777777" w:rsidR="001506F8" w:rsidRDefault="00967787">
      <w:pPr>
        <w:spacing w:line="245" w:lineRule="auto"/>
        <w:jc w:val="both"/>
        <w:rPr>
          <w:sz w:val="20"/>
          <w:szCs w:val="20"/>
        </w:rPr>
      </w:pPr>
      <w:r>
        <w:rPr>
          <w:rFonts w:eastAsia="Times New Roman"/>
          <w:i/>
          <w:iCs/>
          <w:sz w:val="21"/>
          <w:szCs w:val="21"/>
        </w:rPr>
        <w:t>Nach Ablauf des ersten Drittels seiner Mandatszeit sieht sich Lula mit einer rasant um sich greifenden Verun-sicherung konfrontiert. Sie betrifft insbesondere die Austeritätspolitik und die für 2004 heiß ersehnten und doch noch weitgehend ausbleibenden Wachstums- und Beschäftigungseffekte. Innerhalb seiner Partei, seiner Regierung, seiner Koalitionspartner, in der Gesellschaft und auch bei vielen Beobachtern macht sich eine zunehmend kritische Haltung breit. Wird es einsam um Lula? Wie ist seine bisherige Politik, wie sind seine Leistungen, wie die weiteren Perspektiven zu beurteilen? Verspielt er mit Blick auf die internationale Glaub-würdigkeit des Landes die Glaubwürdigkeit des brasilianischen Staats als „sozialer Schuldner“ gegenüber den Armen?</w:t>
      </w:r>
    </w:p>
    <w:p w14:paraId="2EF20E04" w14:textId="77777777" w:rsidR="001506F8" w:rsidRDefault="001506F8">
      <w:pPr>
        <w:sectPr w:rsidR="001506F8">
          <w:pgSz w:w="11900" w:h="16840"/>
          <w:pgMar w:top="1440" w:right="1400" w:bottom="217" w:left="1420" w:header="0" w:footer="0" w:gutter="0"/>
          <w:cols w:space="720" w:equalWidth="0">
            <w:col w:w="9080"/>
          </w:cols>
        </w:sectPr>
      </w:pPr>
    </w:p>
    <w:p w14:paraId="17108540" w14:textId="77777777" w:rsidR="001506F8" w:rsidRDefault="001506F8">
      <w:pPr>
        <w:spacing w:line="205" w:lineRule="exact"/>
        <w:rPr>
          <w:sz w:val="24"/>
          <w:szCs w:val="24"/>
        </w:rPr>
      </w:pPr>
    </w:p>
    <w:p w14:paraId="6FD49AE6" w14:textId="77777777" w:rsidR="001506F8" w:rsidRDefault="00967787">
      <w:pPr>
        <w:rPr>
          <w:sz w:val="20"/>
          <w:szCs w:val="20"/>
        </w:rPr>
      </w:pPr>
      <w:r>
        <w:rPr>
          <w:rFonts w:eastAsia="Times New Roman"/>
          <w:b/>
          <w:bCs/>
          <w:sz w:val="21"/>
          <w:szCs w:val="21"/>
        </w:rPr>
        <w:t>Lulas Auf und Ab in der Meinungsgunst</w:t>
      </w:r>
    </w:p>
    <w:p w14:paraId="4A4761AA" w14:textId="77777777" w:rsidR="001506F8" w:rsidRDefault="001506F8">
      <w:pPr>
        <w:spacing w:line="118" w:lineRule="exact"/>
        <w:rPr>
          <w:sz w:val="24"/>
          <w:szCs w:val="24"/>
        </w:rPr>
      </w:pPr>
    </w:p>
    <w:p w14:paraId="2F7A9731" w14:textId="7BC8D862" w:rsidR="001506F8" w:rsidRDefault="00967787">
      <w:pPr>
        <w:spacing w:line="253" w:lineRule="auto"/>
        <w:jc w:val="both"/>
        <w:rPr>
          <w:sz w:val="20"/>
          <w:szCs w:val="20"/>
        </w:rPr>
      </w:pPr>
      <w:r>
        <w:rPr>
          <w:rFonts w:eastAsia="Times New Roman"/>
          <w:sz w:val="20"/>
          <w:szCs w:val="20"/>
        </w:rPr>
        <w:t>Den „Teflon-Effekt“ – Markenzeichen von Fernando Henrique Cardoso bei jeder Krisenbewältigung – scheint Lula von seinem Amtsvorgänger nicht ganz geerbt zu haben. Zwar blieben die negativen Aus-wirkungen von Rezession und Beschäftigungslosig-keit des letzten Jahres noch bis Dezember 2003 kaum als Makel an Lula haften, und dessen Populari-tät erfreute sich – übrigens auch heute noch – im Vergleich zu seinen Vorgängern beachtlicher Re-kordhöhen. Doch Mitte März 2004 registrierte das brasilianische Meinungsforschungsinstitut IBOPE einen ersten dramatischen Rückgang in der allge-</w:t>
      </w:r>
      <w:r w:rsidR="00001199">
        <w:rPr>
          <w:rFonts w:eastAsia="Times New Roman"/>
          <w:sz w:val="20"/>
          <w:szCs w:val="20"/>
        </w:rPr>
        <w:t xml:space="preserve"> </w:t>
      </w:r>
      <w:r>
        <w:rPr>
          <w:rFonts w:eastAsia="Times New Roman"/>
          <w:sz w:val="20"/>
          <w:szCs w:val="20"/>
        </w:rPr>
        <w:t>Vergleich zu Dezember 2003 um 7% auf 34%, so schrumpfte das Vertrauen in Lula um 9% auf 60%, und die Zustimmung zu seinem Regierungsstil fiel schlagartig gar um 12% auf 54%.</w:t>
      </w:r>
    </w:p>
    <w:p w14:paraId="0D0703E0" w14:textId="77777777" w:rsidR="001506F8" w:rsidRDefault="001506F8">
      <w:pPr>
        <w:spacing w:line="4" w:lineRule="exact"/>
        <w:rPr>
          <w:sz w:val="24"/>
          <w:szCs w:val="24"/>
        </w:rPr>
      </w:pPr>
    </w:p>
    <w:p w14:paraId="612C7061" w14:textId="77777777" w:rsidR="001506F8" w:rsidRDefault="00967787">
      <w:pPr>
        <w:spacing w:line="293" w:lineRule="auto"/>
        <w:ind w:firstLine="283"/>
        <w:jc w:val="both"/>
        <w:rPr>
          <w:sz w:val="20"/>
          <w:szCs w:val="20"/>
        </w:rPr>
      </w:pPr>
      <w:r>
        <w:rPr>
          <w:rFonts w:eastAsia="Times New Roman"/>
          <w:sz w:val="18"/>
          <w:szCs w:val="18"/>
        </w:rPr>
        <w:t>Die Tatsache, dass die Zustimmung sich immer noch auf einer Rekordhöhe befindet, mag mit einem doch noch immer vorhandenen „Teflon-Phänomen“ zusammenhängen – schließlich verfügt Lula als ehe-maliger kämpferischer Arbeiterführer und als begna-</w:t>
      </w:r>
    </w:p>
    <w:p w14:paraId="00E02870" w14:textId="77777777" w:rsidR="001506F8" w:rsidRDefault="001506F8">
      <w:pPr>
        <w:spacing w:line="52" w:lineRule="exact"/>
        <w:rPr>
          <w:sz w:val="24"/>
          <w:szCs w:val="24"/>
        </w:rPr>
      </w:pPr>
    </w:p>
    <w:p w14:paraId="327BF315" w14:textId="47021EBC" w:rsidR="001506F8" w:rsidRPr="00BA177B" w:rsidRDefault="00BA177B">
      <w:pPr>
        <w:rPr>
          <w:sz w:val="20"/>
          <w:szCs w:val="20"/>
          <w:lang w:val="de-DE"/>
        </w:rPr>
      </w:pPr>
      <w:r>
        <w:rPr>
          <w:rFonts w:eastAsia="Times New Roman"/>
          <w:sz w:val="18"/>
          <w:szCs w:val="18"/>
          <w:lang w:val="de-DE"/>
        </w:rPr>
        <w:t>ccc</w:t>
      </w:r>
    </w:p>
    <w:p w14:paraId="58292E6A" w14:textId="77777777" w:rsidR="001506F8" w:rsidRDefault="00967787">
      <w:pPr>
        <w:spacing w:line="20" w:lineRule="exact"/>
        <w:rPr>
          <w:sz w:val="24"/>
          <w:szCs w:val="24"/>
        </w:rPr>
      </w:pPr>
      <w:r>
        <w:rPr>
          <w:sz w:val="24"/>
          <w:szCs w:val="24"/>
        </w:rPr>
        <w:br w:type="column"/>
      </w:r>
    </w:p>
    <w:p w14:paraId="3EE69048" w14:textId="77777777" w:rsidR="001506F8" w:rsidRDefault="001506F8">
      <w:pPr>
        <w:spacing w:line="184" w:lineRule="exact"/>
        <w:rPr>
          <w:sz w:val="24"/>
          <w:szCs w:val="24"/>
        </w:rPr>
      </w:pPr>
    </w:p>
    <w:p w14:paraId="2E39EE61" w14:textId="63221478" w:rsidR="001506F8" w:rsidRDefault="00967787">
      <w:pPr>
        <w:spacing w:line="255" w:lineRule="auto"/>
        <w:ind w:left="44"/>
        <w:jc w:val="both"/>
        <w:rPr>
          <w:sz w:val="20"/>
          <w:szCs w:val="20"/>
        </w:rPr>
      </w:pPr>
      <w:r>
        <w:rPr>
          <w:rFonts w:eastAsia="Times New Roman"/>
          <w:sz w:val="20"/>
          <w:szCs w:val="20"/>
        </w:rPr>
        <w:t>deter Volkstribun nach wie vor über ein beträchtli-ches Reservoir an charismatischen Mitteln. Doch beunruhigend für die führenden Politiker ist zwei-felsohne die in dem steilen Abfall zum Ausdruck kommende Tendenz. Denn diese kann sich auf die im Oktober 2004 in den 5.561 Gemeinden Brasiliens stattfindenden Bürgermeister- und Gemeinderats-wahlen katastrophal auswirken und ein Präjudiz für die im Oktober 2006 anstehenden Gouverneurs-, Auch deshalb sind die von den Meinungsforschern</w:t>
      </w:r>
      <w:bookmarkStart w:id="1" w:name="_GoBack"/>
      <w:bookmarkEnd w:id="1"/>
      <w:r>
        <w:rPr>
          <w:rFonts w:eastAsia="Times New Roman"/>
          <w:sz w:val="20"/>
          <w:szCs w:val="20"/>
        </w:rPr>
        <w:t>) auf zwei Aspekte konzentrieren:</w:t>
      </w:r>
    </w:p>
    <w:p w14:paraId="7F7AB901" w14:textId="77777777" w:rsidR="001506F8" w:rsidRDefault="001506F8">
      <w:pPr>
        <w:spacing w:line="13" w:lineRule="exact"/>
        <w:rPr>
          <w:sz w:val="24"/>
          <w:szCs w:val="24"/>
        </w:rPr>
      </w:pPr>
    </w:p>
    <w:p w14:paraId="22185D4B" w14:textId="5EB33812" w:rsidR="00001199" w:rsidRDefault="00967787" w:rsidP="00001199">
      <w:pPr>
        <w:numPr>
          <w:ilvl w:val="0"/>
          <w:numId w:val="1"/>
        </w:numPr>
        <w:tabs>
          <w:tab w:val="left" w:pos="406"/>
        </w:tabs>
        <w:spacing w:line="243" w:lineRule="auto"/>
        <w:ind w:left="404" w:hanging="404"/>
        <w:jc w:val="both"/>
        <w:rPr>
          <w:rFonts w:eastAsia="Times New Roman"/>
          <w:sz w:val="20"/>
          <w:szCs w:val="20"/>
        </w:rPr>
      </w:pPr>
      <w:r>
        <w:rPr>
          <w:rFonts w:eastAsia="Times New Roman"/>
          <w:sz w:val="21"/>
          <w:szCs w:val="21"/>
        </w:rPr>
        <w:t xml:space="preserve">Erstens die „Entmythisierung“ Lulas: Diese bleibt nicht länger auf die engen Kreise von Meinungsbildnern und Besserinformierten be-schränkt, sondern hat auf breitere Kreise überge-griffen – vielleicht ein normaler </w:t>
      </w:r>
    </w:p>
    <w:p w14:paraId="1BBFB887" w14:textId="36BFB184" w:rsidR="001506F8" w:rsidRDefault="00967787">
      <w:pPr>
        <w:numPr>
          <w:ilvl w:val="0"/>
          <w:numId w:val="1"/>
        </w:numPr>
        <w:tabs>
          <w:tab w:val="left" w:pos="406"/>
        </w:tabs>
        <w:spacing w:line="254" w:lineRule="auto"/>
        <w:ind w:left="404" w:hanging="404"/>
        <w:jc w:val="both"/>
        <w:rPr>
          <w:rFonts w:ascii="Symbol" w:eastAsia="Symbol" w:hAnsi="Symbol" w:cs="Symbol"/>
          <w:sz w:val="20"/>
          <w:szCs w:val="20"/>
        </w:rPr>
      </w:pPr>
      <w:r>
        <w:rPr>
          <w:rFonts w:eastAsia="Times New Roman"/>
          <w:sz w:val="20"/>
          <w:szCs w:val="20"/>
        </w:rPr>
        <w:t>Hatte die Verschleißkurve in den ersten 12 Monaten einen sehr flachen Verlauf (um ca. 1%), so zeigte diese in den ersten drei Monaten 2004 mit einem Ab-fall um 9% steil nach unten. Dies bedeutet, so Carlos Montenegro (IBOPE-Präsident), dass die politische Krise wie auch das Negativwachstum</w:t>
      </w:r>
    </w:p>
    <w:p w14:paraId="2516C1F3" w14:textId="77777777" w:rsidR="001506F8" w:rsidRDefault="001506F8">
      <w:pPr>
        <w:spacing w:line="127" w:lineRule="exact"/>
        <w:rPr>
          <w:sz w:val="24"/>
          <w:szCs w:val="24"/>
        </w:rPr>
      </w:pPr>
    </w:p>
    <w:p w14:paraId="751B55E0" w14:textId="77777777" w:rsidR="001506F8" w:rsidRDefault="00967787">
      <w:pPr>
        <w:ind w:left="4124"/>
        <w:rPr>
          <w:sz w:val="20"/>
          <w:szCs w:val="20"/>
        </w:rPr>
      </w:pPr>
      <w:r>
        <w:rPr>
          <w:rFonts w:eastAsia="Times New Roman"/>
          <w:sz w:val="24"/>
          <w:szCs w:val="24"/>
        </w:rPr>
        <w:t>97</w:t>
      </w:r>
    </w:p>
    <w:sectPr w:rsidR="001506F8">
      <w:type w:val="continuous"/>
      <w:pgSz w:w="11900" w:h="16840"/>
      <w:pgMar w:top="1440" w:right="1400" w:bottom="217" w:left="1420" w:header="0" w:footer="0" w:gutter="0"/>
      <w:cols w:num="2" w:space="720" w:equalWidth="0">
        <w:col w:w="4400" w:space="236"/>
        <w:col w:w="44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AD5AC1C4"/>
    <w:lvl w:ilvl="0" w:tplc="FFF61B5E">
      <w:start w:val="1"/>
      <w:numFmt w:val="bullet"/>
      <w:lvlText w:val="•"/>
      <w:lvlJc w:val="left"/>
    </w:lvl>
    <w:lvl w:ilvl="1" w:tplc="50ECCE18">
      <w:numFmt w:val="decimal"/>
      <w:lvlText w:val=""/>
      <w:lvlJc w:val="left"/>
    </w:lvl>
    <w:lvl w:ilvl="2" w:tplc="1D98DBA4">
      <w:numFmt w:val="decimal"/>
      <w:lvlText w:val=""/>
      <w:lvlJc w:val="left"/>
    </w:lvl>
    <w:lvl w:ilvl="3" w:tplc="E15E94B8">
      <w:numFmt w:val="decimal"/>
      <w:lvlText w:val=""/>
      <w:lvlJc w:val="left"/>
    </w:lvl>
    <w:lvl w:ilvl="4" w:tplc="FD1227C0">
      <w:numFmt w:val="decimal"/>
      <w:lvlText w:val=""/>
      <w:lvlJc w:val="left"/>
    </w:lvl>
    <w:lvl w:ilvl="5" w:tplc="3580F16E">
      <w:numFmt w:val="decimal"/>
      <w:lvlText w:val=""/>
      <w:lvlJc w:val="left"/>
    </w:lvl>
    <w:lvl w:ilvl="6" w:tplc="987EAD1E">
      <w:numFmt w:val="decimal"/>
      <w:lvlText w:val=""/>
      <w:lvlJc w:val="left"/>
    </w:lvl>
    <w:lvl w:ilvl="7" w:tplc="F182A770">
      <w:numFmt w:val="decimal"/>
      <w:lvlText w:val=""/>
      <w:lvlJc w:val="left"/>
    </w:lvl>
    <w:lvl w:ilvl="8" w:tplc="2624A49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6F8"/>
    <w:rsid w:val="00001199"/>
    <w:rsid w:val="001506F8"/>
    <w:rsid w:val="002E5D25"/>
    <w:rsid w:val="005777F0"/>
    <w:rsid w:val="00967787"/>
    <w:rsid w:val="00B94758"/>
    <w:rsid w:val="00BA177B"/>
    <w:rsid w:val="00F3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315B"/>
  <w15:docId w15:val="{A0DE2E2D-858D-4839-B884-E17A07DF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15</cp:revision>
  <dcterms:created xsi:type="dcterms:W3CDTF">2020-07-08T19:24:00Z</dcterms:created>
  <dcterms:modified xsi:type="dcterms:W3CDTF">2020-07-11T17:58:00Z</dcterms:modified>
</cp:coreProperties>
</file>