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6F060400" w14:textId="2F0DECAF" w:rsidR="00B40BA8" w:rsidRPr="00D53E23" w:rsidRDefault="00B40BA8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  <w:lang w:val="de-DE"/>
        </w:rPr>
      </w:pPr>
      <w:proofErr w:type="spellStart"/>
      <w:r w:rsidRPr="00D53E23">
        <w:rPr>
          <w:b/>
          <w:bCs/>
          <w:sz w:val="56"/>
          <w:szCs w:val="56"/>
          <w:lang w:val="de-DE"/>
        </w:rPr>
        <w:t>sdvdvdfvdvdsv</w:t>
      </w:r>
      <w:proofErr w:type="spellEnd"/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89AE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Nummer</w:t>
      </w:r>
      <w:proofErr w:type="spellEnd"/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10296AB9" w:rsidR="00CE71C8" w:rsidRPr="00923FFD" w:rsidRDefault="00CE71C8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proofErr w:type="spellStart"/>
      <w:r w:rsidRPr="00923FFD">
        <w:rPr>
          <w:rFonts w:ascii="Arial" w:eastAsia="Arial" w:hAnsi="Arial" w:cs="Arial"/>
          <w:sz w:val="24"/>
          <w:szCs w:val="24"/>
        </w:rPr>
        <w:t>hfhgfhghvhghghgjjhg</w:t>
      </w:r>
      <w:proofErr w:type="spellEnd"/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910CA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2C2F94A" w:rsidR="001511FF" w:rsidRDefault="00CE71C8">
      <w:pPr>
        <w:ind w:right="20"/>
        <w:jc w:val="center"/>
        <w:rPr>
          <w:sz w:val="20"/>
          <w:szCs w:val="20"/>
        </w:rPr>
      </w:pPr>
      <w:proofErr w:type="spellStart"/>
      <w:r w:rsidRPr="00923FFD">
        <w:rPr>
          <w:rFonts w:eastAsia="Times New Roman"/>
          <w:b/>
          <w:bCs/>
          <w:sz w:val="36"/>
          <w:szCs w:val="36"/>
        </w:rPr>
        <w:t>fghfghfghgfhgfgggg</w:t>
      </w:r>
      <w:proofErr w:type="spellEnd"/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0ADF7671" w:rsidR="001511FF" w:rsidRDefault="00283F8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Gilberto</w:t>
      </w:r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5AB0C1BE" w:rsidR="001511FF" w:rsidRDefault="00CE71C8" w:rsidP="00176633">
      <w:pPr>
        <w:spacing w:line="245" w:lineRule="auto"/>
        <w:rPr>
          <w:sz w:val="20"/>
          <w:szCs w:val="20"/>
        </w:rPr>
      </w:pPr>
      <w:proofErr w:type="spellStart"/>
      <w:r w:rsidRPr="00923FFD">
        <w:rPr>
          <w:rFonts w:eastAsia="Times New Roman"/>
          <w:i/>
          <w:iCs/>
          <w:sz w:val="21"/>
          <w:szCs w:val="21"/>
        </w:rPr>
        <w:t>fgfgdfgfbhbnn</w:t>
      </w:r>
      <w:proofErr w:type="spellEnd"/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  <w:bookmarkStart w:id="0" w:name="_GoBack"/>
      <w:bookmarkEnd w:id="0"/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Lulas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Auf und Ab in der </w:t>
      </w:r>
      <w:proofErr w:type="spellStart"/>
      <w:r>
        <w:rPr>
          <w:rFonts w:eastAsia="Times New Roman"/>
          <w:b/>
          <w:bCs/>
          <w:sz w:val="21"/>
          <w:szCs w:val="21"/>
        </w:rPr>
        <w:t>Meinungsgunst</w:t>
      </w:r>
      <w:proofErr w:type="spellEnd"/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Den „Teflon-</w:t>
      </w:r>
      <w:proofErr w:type="spellStart"/>
      <w:proofErr w:type="gramStart"/>
      <w:r>
        <w:rPr>
          <w:rFonts w:eastAsia="Times New Roman"/>
          <w:sz w:val="20"/>
          <w:szCs w:val="20"/>
        </w:rPr>
        <w:t>Effekt</w:t>
      </w:r>
      <w:proofErr w:type="spellEnd"/>
      <w:r>
        <w:rPr>
          <w:rFonts w:eastAsia="Times New Roman"/>
          <w:sz w:val="20"/>
          <w:szCs w:val="20"/>
        </w:rPr>
        <w:t>“ –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Markenzeichen</w:t>
      </w:r>
      <w:proofErr w:type="spellEnd"/>
      <w:r>
        <w:rPr>
          <w:rFonts w:eastAsia="Times New Roman"/>
          <w:sz w:val="20"/>
          <w:szCs w:val="20"/>
        </w:rPr>
        <w:t xml:space="preserve"> von Fernando Henrique Cardoso </w:t>
      </w:r>
      <w:proofErr w:type="spellStart"/>
      <w:r>
        <w:rPr>
          <w:rFonts w:eastAsia="Times New Roman"/>
          <w:sz w:val="20"/>
          <w:szCs w:val="20"/>
        </w:rPr>
        <w:t>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Krisenbewältigung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 Lula von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Amtsvorgänger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geerbt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Zwar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blieben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negativen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Aus-wirkungen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Rezession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Beschäftigungslosig-keit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letzten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Jahres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bis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</w:t>
      </w:r>
      <w:proofErr w:type="spellStart"/>
      <w:r>
        <w:rPr>
          <w:rFonts w:eastAsia="Times New Roman"/>
          <w:sz w:val="20"/>
          <w:szCs w:val="20"/>
        </w:rPr>
        <w:t>kaum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Makel</w:t>
      </w:r>
      <w:proofErr w:type="spellEnd"/>
      <w:r>
        <w:rPr>
          <w:rFonts w:eastAsia="Times New Roman"/>
          <w:sz w:val="20"/>
          <w:szCs w:val="20"/>
        </w:rPr>
        <w:t xml:space="preserve"> an Lula </w:t>
      </w:r>
      <w:proofErr w:type="spellStart"/>
      <w:r>
        <w:rPr>
          <w:rFonts w:eastAsia="Times New Roman"/>
          <w:sz w:val="20"/>
          <w:szCs w:val="20"/>
        </w:rPr>
        <w:t>haften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dessen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Populari-tät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erfreute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übrigens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Vorgängern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beachtlicher</w:t>
      </w:r>
      <w:proofErr w:type="spellEnd"/>
      <w:r>
        <w:rPr>
          <w:rFonts w:eastAsia="Times New Roman"/>
          <w:sz w:val="20"/>
          <w:szCs w:val="20"/>
        </w:rPr>
        <w:t xml:space="preserve"> Re-</w:t>
      </w:r>
      <w:proofErr w:type="spellStart"/>
      <w:r>
        <w:rPr>
          <w:rFonts w:eastAsia="Times New Roman"/>
          <w:sz w:val="20"/>
          <w:szCs w:val="20"/>
        </w:rPr>
        <w:t>kordhöhen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Mitte </w:t>
      </w:r>
      <w:proofErr w:type="spellStart"/>
      <w:r>
        <w:rPr>
          <w:rFonts w:eastAsia="Times New Roman"/>
          <w:sz w:val="20"/>
          <w:szCs w:val="20"/>
        </w:rPr>
        <w:t>März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registrierte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brasilianische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Meinungsforschungsinstitut</w:t>
      </w:r>
      <w:proofErr w:type="spellEnd"/>
      <w:r>
        <w:rPr>
          <w:rFonts w:eastAsia="Times New Roman"/>
          <w:sz w:val="20"/>
          <w:szCs w:val="20"/>
        </w:rPr>
        <w:t xml:space="preserve"> IBOPE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dramatischen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Rückgang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allge-meinen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Einschätzung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betraf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Regie-rungsleistungen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sondern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hinaus</w:t>
      </w:r>
      <w:proofErr w:type="spellEnd"/>
      <w:r>
        <w:rPr>
          <w:rFonts w:eastAsia="Times New Roman"/>
          <w:sz w:val="20"/>
          <w:szCs w:val="20"/>
        </w:rPr>
        <w:t xml:space="preserve"> – und </w:t>
      </w:r>
      <w:proofErr w:type="spellStart"/>
      <w:r>
        <w:rPr>
          <w:rFonts w:eastAsia="Times New Roman"/>
          <w:sz w:val="20"/>
          <w:szCs w:val="20"/>
        </w:rPr>
        <w:t>sogar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stärker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persönliche</w:t>
      </w:r>
      <w:proofErr w:type="spellEnd"/>
      <w:r>
        <w:rPr>
          <w:rFonts w:eastAsia="Times New Roman"/>
          <w:sz w:val="20"/>
          <w:szCs w:val="20"/>
        </w:rPr>
        <w:t xml:space="preserve"> Per-</w:t>
      </w:r>
      <w:proofErr w:type="spellStart"/>
      <w:r>
        <w:rPr>
          <w:rFonts w:eastAsia="Times New Roman"/>
          <w:sz w:val="20"/>
          <w:szCs w:val="20"/>
        </w:rPr>
        <w:t>formanz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Lulas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Regierungschef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die positive </w:t>
      </w:r>
      <w:proofErr w:type="spellStart"/>
      <w:r>
        <w:rPr>
          <w:rFonts w:eastAsia="Times New Roman"/>
          <w:sz w:val="20"/>
          <w:szCs w:val="20"/>
        </w:rPr>
        <w:t>Bewertung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Regierungsleistungen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um 7% auf 34%, so </w:t>
      </w:r>
      <w:proofErr w:type="spellStart"/>
      <w:r>
        <w:rPr>
          <w:rFonts w:eastAsia="Times New Roman"/>
          <w:sz w:val="20"/>
          <w:szCs w:val="20"/>
        </w:rPr>
        <w:t>schrumpfte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Vertrauen</w:t>
      </w:r>
      <w:proofErr w:type="spellEnd"/>
      <w:r>
        <w:rPr>
          <w:rFonts w:eastAsia="Times New Roman"/>
          <w:sz w:val="20"/>
          <w:szCs w:val="20"/>
        </w:rPr>
        <w:t xml:space="preserve"> in Lula um 9% auf 60%, und die </w:t>
      </w:r>
      <w:proofErr w:type="spellStart"/>
      <w:r>
        <w:rPr>
          <w:rFonts w:eastAsia="Times New Roman"/>
          <w:sz w:val="20"/>
          <w:szCs w:val="20"/>
        </w:rPr>
        <w:t>Zustimmung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Regierungsstil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schlagartig</w:t>
      </w:r>
      <w:proofErr w:type="spellEnd"/>
      <w:r>
        <w:rPr>
          <w:rFonts w:eastAsia="Times New Roman"/>
          <w:sz w:val="20"/>
          <w:szCs w:val="20"/>
        </w:rPr>
        <w:t xml:space="preserve">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23383C20" w14:textId="67A36B66" w:rsidR="001511FF" w:rsidRDefault="00283F87" w:rsidP="00E17A43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Die </w:t>
      </w:r>
      <w:proofErr w:type="spellStart"/>
      <w:r>
        <w:rPr>
          <w:rFonts w:eastAsia="Times New Roman"/>
          <w:sz w:val="18"/>
          <w:szCs w:val="18"/>
        </w:rPr>
        <w:t>Tatsache</w:t>
      </w:r>
      <w:proofErr w:type="spellEnd"/>
      <w:r>
        <w:rPr>
          <w:rFonts w:eastAsia="Times New Roman"/>
          <w:sz w:val="18"/>
          <w:szCs w:val="18"/>
        </w:rPr>
        <w:t xml:space="preserve">, </w:t>
      </w:r>
      <w:proofErr w:type="spellStart"/>
      <w:r>
        <w:rPr>
          <w:rFonts w:eastAsia="Times New Roman"/>
          <w:sz w:val="18"/>
          <w:szCs w:val="18"/>
        </w:rPr>
        <w:t>dass</w:t>
      </w:r>
      <w:proofErr w:type="spellEnd"/>
      <w:r>
        <w:rPr>
          <w:rFonts w:eastAsia="Times New Roman"/>
          <w:sz w:val="18"/>
          <w:szCs w:val="18"/>
        </w:rPr>
        <w:t xml:space="preserve"> die </w:t>
      </w:r>
      <w:proofErr w:type="spellStart"/>
      <w:r>
        <w:rPr>
          <w:rFonts w:eastAsia="Times New Roman"/>
          <w:sz w:val="18"/>
          <w:szCs w:val="18"/>
        </w:rPr>
        <w:t>Zustimmung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sich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auf </w:t>
      </w:r>
      <w:proofErr w:type="spellStart"/>
      <w:r>
        <w:rPr>
          <w:rFonts w:eastAsia="Times New Roman"/>
          <w:sz w:val="18"/>
          <w:szCs w:val="18"/>
        </w:rPr>
        <w:t>einer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Rekordhöhe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befindet</w:t>
      </w:r>
      <w:proofErr w:type="spellEnd"/>
      <w:r>
        <w:rPr>
          <w:rFonts w:eastAsia="Times New Roman"/>
          <w:sz w:val="18"/>
          <w:szCs w:val="18"/>
        </w:rPr>
        <w:t xml:space="preserve">, mag </w:t>
      </w:r>
      <w:proofErr w:type="spellStart"/>
      <w:r>
        <w:rPr>
          <w:rFonts w:eastAsia="Times New Roman"/>
          <w:sz w:val="18"/>
          <w:szCs w:val="18"/>
        </w:rPr>
        <w:t>mit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einem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doch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vorhandenen</w:t>
      </w:r>
      <w:proofErr w:type="spellEnd"/>
      <w:r>
        <w:rPr>
          <w:rFonts w:eastAsia="Times New Roman"/>
          <w:sz w:val="18"/>
          <w:szCs w:val="18"/>
        </w:rPr>
        <w:t xml:space="preserve"> „Teflon-</w:t>
      </w:r>
      <w:proofErr w:type="spellStart"/>
      <w:proofErr w:type="gramStart"/>
      <w:r>
        <w:rPr>
          <w:rFonts w:eastAsia="Times New Roman"/>
          <w:sz w:val="18"/>
          <w:szCs w:val="18"/>
        </w:rPr>
        <w:t>Phänomen</w:t>
      </w:r>
      <w:proofErr w:type="spellEnd"/>
      <w:r>
        <w:rPr>
          <w:rFonts w:eastAsia="Times New Roman"/>
          <w:sz w:val="18"/>
          <w:szCs w:val="18"/>
        </w:rPr>
        <w:t xml:space="preserve">“ </w:t>
      </w:r>
      <w:proofErr w:type="spellStart"/>
      <w:r>
        <w:rPr>
          <w:rFonts w:eastAsia="Times New Roman"/>
          <w:sz w:val="18"/>
          <w:szCs w:val="18"/>
        </w:rPr>
        <w:t>zusammenhängen</w:t>
      </w:r>
      <w:proofErr w:type="spellEnd"/>
      <w:proofErr w:type="gramEnd"/>
      <w:r>
        <w:rPr>
          <w:rFonts w:eastAsia="Times New Roman"/>
          <w:sz w:val="18"/>
          <w:szCs w:val="18"/>
        </w:rPr>
        <w:t xml:space="preserve"> – </w:t>
      </w:r>
      <w:proofErr w:type="spellStart"/>
      <w:r>
        <w:rPr>
          <w:rFonts w:eastAsia="Times New Roman"/>
          <w:sz w:val="18"/>
          <w:szCs w:val="18"/>
        </w:rPr>
        <w:t>schließlich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verfügt</w:t>
      </w:r>
      <w:proofErr w:type="spellEnd"/>
      <w:r>
        <w:rPr>
          <w:rFonts w:eastAsia="Times New Roman"/>
          <w:sz w:val="18"/>
          <w:szCs w:val="18"/>
        </w:rPr>
        <w:t xml:space="preserve"> Lula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ehe-maliger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kämpferischer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Arbeiterführer</w:t>
      </w:r>
      <w:proofErr w:type="spellEnd"/>
      <w:r>
        <w:rPr>
          <w:rFonts w:eastAsia="Times New Roman"/>
          <w:sz w:val="18"/>
          <w:szCs w:val="18"/>
        </w:rPr>
        <w:t xml:space="preserve"> und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begna</w:t>
      </w:r>
      <w:proofErr w:type="spellEnd"/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20"/>
          <w:szCs w:val="20"/>
        </w:rPr>
        <w:t xml:space="preserve">deter </w:t>
      </w:r>
      <w:proofErr w:type="spellStart"/>
      <w:r>
        <w:rPr>
          <w:rFonts w:eastAsia="Times New Roman"/>
          <w:sz w:val="20"/>
          <w:szCs w:val="20"/>
        </w:rPr>
        <w:t>Volkstribun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beträchtli-ches</w:t>
      </w:r>
      <w:proofErr w:type="spellEnd"/>
      <w:r>
        <w:rPr>
          <w:rFonts w:eastAsia="Times New Roman"/>
          <w:sz w:val="20"/>
          <w:szCs w:val="20"/>
        </w:rPr>
        <w:t xml:space="preserve"> Reservoir an </w:t>
      </w:r>
      <w:proofErr w:type="spellStart"/>
      <w:r>
        <w:rPr>
          <w:rFonts w:eastAsia="Times New Roman"/>
          <w:sz w:val="20"/>
          <w:szCs w:val="20"/>
        </w:rPr>
        <w:t>charismatischen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Mitteln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beunruhigend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führenden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Politiker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zwei-felsohne</w:t>
      </w:r>
      <w:proofErr w:type="spellEnd"/>
      <w:r>
        <w:rPr>
          <w:rFonts w:eastAsia="Times New Roman"/>
          <w:sz w:val="20"/>
          <w:szCs w:val="20"/>
        </w:rPr>
        <w:t xml:space="preserve"> die in </w:t>
      </w:r>
      <w:proofErr w:type="spellStart"/>
      <w:r>
        <w:rPr>
          <w:rFonts w:eastAsia="Times New Roman"/>
          <w:sz w:val="20"/>
          <w:szCs w:val="20"/>
        </w:rPr>
        <w:t>dem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steilen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Abfall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Ausdruck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kommende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Tendenz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Denn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auf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2004 in den </w:t>
      </w:r>
      <w:r>
        <w:rPr>
          <w:rFonts w:eastAsia="Times New Roman"/>
          <w:sz w:val="20"/>
          <w:szCs w:val="20"/>
        </w:rPr>
        <w:t xml:space="preserve">5.561 </w:t>
      </w:r>
      <w:proofErr w:type="spellStart"/>
      <w:r>
        <w:rPr>
          <w:rFonts w:eastAsia="Times New Roman"/>
          <w:sz w:val="20"/>
          <w:szCs w:val="20"/>
        </w:rPr>
        <w:t>Gemeinden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Brasiliens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stattfindenden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Bürgermeister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Gemeinderats-wahlen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katastrophal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auswirken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Präjudiz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2006 </w:t>
      </w:r>
      <w:proofErr w:type="spellStart"/>
      <w:r>
        <w:rPr>
          <w:rFonts w:eastAsia="Times New Roman"/>
          <w:sz w:val="20"/>
          <w:szCs w:val="20"/>
        </w:rPr>
        <w:t>anstehenden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Gouverneurs</w:t>
      </w:r>
      <w:proofErr w:type="spellEnd"/>
      <w:r>
        <w:rPr>
          <w:rFonts w:eastAsia="Times New Roman"/>
          <w:sz w:val="20"/>
          <w:szCs w:val="20"/>
        </w:rPr>
        <w:t xml:space="preserve">-, </w:t>
      </w:r>
      <w:proofErr w:type="spellStart"/>
      <w:r>
        <w:rPr>
          <w:rFonts w:eastAsia="Times New Roman"/>
          <w:sz w:val="20"/>
          <w:szCs w:val="20"/>
        </w:rPr>
        <w:t>Parlaments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Präsidentschaftswahlen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darstellen</w:t>
      </w:r>
      <w:proofErr w:type="spellEnd"/>
      <w:r>
        <w:rPr>
          <w:rFonts w:eastAsia="Times New Roman"/>
          <w:sz w:val="20"/>
          <w:szCs w:val="20"/>
        </w:rPr>
        <w:t xml:space="preserve">. Auch </w:t>
      </w:r>
      <w:proofErr w:type="spellStart"/>
      <w:r>
        <w:rPr>
          <w:rFonts w:eastAsia="Times New Roman"/>
          <w:sz w:val="20"/>
          <w:szCs w:val="20"/>
        </w:rPr>
        <w:t>deshalb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die von den </w:t>
      </w:r>
      <w:proofErr w:type="spellStart"/>
      <w:r>
        <w:rPr>
          <w:rFonts w:eastAsia="Times New Roman"/>
          <w:sz w:val="20"/>
          <w:szCs w:val="20"/>
        </w:rPr>
        <w:t>Meinungsforschern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ausgemachten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Gründe</w:t>
      </w:r>
      <w:proofErr w:type="spellEnd"/>
      <w:r>
        <w:rPr>
          <w:rFonts w:eastAsia="Times New Roman"/>
          <w:sz w:val="20"/>
          <w:szCs w:val="20"/>
        </w:rPr>
        <w:t xml:space="preserve"> von Interesse, die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Zusammenfassung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iCs/>
          <w:sz w:val="20"/>
          <w:szCs w:val="20"/>
        </w:rPr>
        <w:t>Veja</w:t>
      </w:r>
      <w:proofErr w:type="spellEnd"/>
      <w:r>
        <w:rPr>
          <w:rFonts w:eastAsia="Times New Roman"/>
          <w:sz w:val="20"/>
          <w:szCs w:val="20"/>
        </w:rPr>
        <w:t xml:space="preserve">, 31.3.2004: 40) auf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Aspekte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konzentrieren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F676D0B" w14:textId="77777777" w:rsidR="001511FF" w:rsidRDefault="001511FF">
      <w:pPr>
        <w:spacing w:line="13" w:lineRule="exact"/>
        <w:rPr>
          <w:sz w:val="24"/>
          <w:szCs w:val="24"/>
        </w:rPr>
      </w:pPr>
    </w:p>
    <w:p w14:paraId="7DCF1B87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43" w:lineRule="auto"/>
        <w:ind w:left="404" w:hanging="404"/>
        <w:jc w:val="both"/>
        <w:rPr>
          <w:rFonts w:ascii="Symbol" w:eastAsia="Symbol" w:hAnsi="Symbol" w:cs="Symbol"/>
          <w:sz w:val="21"/>
          <w:szCs w:val="21"/>
        </w:rPr>
      </w:pPr>
      <w:proofErr w:type="spellStart"/>
      <w:r>
        <w:rPr>
          <w:rFonts w:eastAsia="Times New Roman"/>
          <w:sz w:val="21"/>
          <w:szCs w:val="21"/>
        </w:rPr>
        <w:t>Erstens</w:t>
      </w:r>
      <w:proofErr w:type="spellEnd"/>
      <w:r>
        <w:rPr>
          <w:rFonts w:eastAsia="Times New Roman"/>
          <w:sz w:val="21"/>
          <w:szCs w:val="21"/>
        </w:rPr>
        <w:t xml:space="preserve"> die „</w:t>
      </w:r>
      <w:proofErr w:type="spellStart"/>
      <w:proofErr w:type="gramStart"/>
      <w:r>
        <w:rPr>
          <w:rFonts w:eastAsia="Times New Roman"/>
          <w:sz w:val="21"/>
          <w:szCs w:val="21"/>
        </w:rPr>
        <w:t>Entmythisierung</w:t>
      </w:r>
      <w:proofErr w:type="spellEnd"/>
      <w:r>
        <w:rPr>
          <w:rFonts w:eastAsia="Times New Roman"/>
          <w:sz w:val="21"/>
          <w:szCs w:val="21"/>
        </w:rPr>
        <w:t xml:space="preserve">“ </w:t>
      </w:r>
      <w:proofErr w:type="spellStart"/>
      <w:r>
        <w:rPr>
          <w:rFonts w:eastAsia="Times New Roman"/>
          <w:sz w:val="21"/>
          <w:szCs w:val="21"/>
        </w:rPr>
        <w:t>Lulas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Diese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bleibt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länger</w:t>
      </w:r>
      <w:proofErr w:type="spellEnd"/>
      <w:r>
        <w:rPr>
          <w:rFonts w:eastAsia="Times New Roman"/>
          <w:sz w:val="21"/>
          <w:szCs w:val="21"/>
        </w:rPr>
        <w:t xml:space="preserve"> auf die </w:t>
      </w:r>
      <w:proofErr w:type="spellStart"/>
      <w:r>
        <w:rPr>
          <w:rFonts w:eastAsia="Times New Roman"/>
          <w:sz w:val="21"/>
          <w:szCs w:val="21"/>
        </w:rPr>
        <w:t>engen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von </w:t>
      </w:r>
      <w:proofErr w:type="spellStart"/>
      <w:r>
        <w:rPr>
          <w:rFonts w:eastAsia="Times New Roman"/>
          <w:sz w:val="21"/>
          <w:szCs w:val="21"/>
        </w:rPr>
        <w:t>Meinungsbildnern</w:t>
      </w:r>
      <w:proofErr w:type="spellEnd"/>
      <w:r>
        <w:rPr>
          <w:rFonts w:eastAsia="Times New Roman"/>
          <w:sz w:val="21"/>
          <w:szCs w:val="21"/>
        </w:rPr>
        <w:t xml:space="preserve"> und </w:t>
      </w:r>
      <w:proofErr w:type="spellStart"/>
      <w:r>
        <w:rPr>
          <w:rFonts w:eastAsia="Times New Roman"/>
          <w:sz w:val="21"/>
          <w:szCs w:val="21"/>
        </w:rPr>
        <w:t>Besserinformierten</w:t>
      </w:r>
      <w:proofErr w:type="spellEnd"/>
      <w:r>
        <w:rPr>
          <w:rFonts w:eastAsia="Times New Roman"/>
          <w:sz w:val="21"/>
          <w:szCs w:val="21"/>
        </w:rPr>
        <w:t xml:space="preserve"> be-</w:t>
      </w:r>
      <w:proofErr w:type="spellStart"/>
      <w:r>
        <w:rPr>
          <w:rFonts w:eastAsia="Times New Roman"/>
          <w:sz w:val="21"/>
          <w:szCs w:val="21"/>
        </w:rPr>
        <w:t>schränkt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sondern</w:t>
      </w:r>
      <w:proofErr w:type="spellEnd"/>
      <w:r>
        <w:rPr>
          <w:rFonts w:eastAsia="Times New Roman"/>
          <w:sz w:val="21"/>
          <w:szCs w:val="21"/>
        </w:rPr>
        <w:t xml:space="preserve"> hat auf </w:t>
      </w:r>
      <w:proofErr w:type="spellStart"/>
      <w:r>
        <w:rPr>
          <w:rFonts w:eastAsia="Times New Roman"/>
          <w:sz w:val="21"/>
          <w:szCs w:val="21"/>
        </w:rPr>
        <w:t>breitere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überge-griffen</w:t>
      </w:r>
      <w:proofErr w:type="spellEnd"/>
      <w:r>
        <w:rPr>
          <w:rFonts w:eastAsia="Times New Roman"/>
          <w:sz w:val="21"/>
          <w:szCs w:val="21"/>
        </w:rPr>
        <w:t xml:space="preserve"> – </w:t>
      </w:r>
      <w:proofErr w:type="spellStart"/>
      <w:r>
        <w:rPr>
          <w:rFonts w:eastAsia="Times New Roman"/>
          <w:sz w:val="21"/>
          <w:szCs w:val="21"/>
        </w:rPr>
        <w:t>vielleicht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ein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normaler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Verschleiß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nach</w:t>
      </w:r>
      <w:proofErr w:type="spellEnd"/>
      <w:r>
        <w:rPr>
          <w:rFonts w:eastAsia="Times New Roman"/>
          <w:sz w:val="21"/>
          <w:szCs w:val="21"/>
        </w:rPr>
        <w:t xml:space="preserve"> 16 </w:t>
      </w:r>
      <w:proofErr w:type="spellStart"/>
      <w:r>
        <w:rPr>
          <w:rFonts w:eastAsia="Times New Roman"/>
          <w:sz w:val="21"/>
          <w:szCs w:val="21"/>
        </w:rPr>
        <w:t>Monaten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Regierung</w:t>
      </w:r>
      <w:proofErr w:type="spellEnd"/>
      <w:r>
        <w:rPr>
          <w:rFonts w:eastAsia="Times New Roman"/>
          <w:sz w:val="21"/>
          <w:szCs w:val="21"/>
        </w:rPr>
        <w:t>.</w:t>
      </w:r>
    </w:p>
    <w:p w14:paraId="0D6016C3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54" w:lineRule="auto"/>
        <w:ind w:left="404" w:hanging="404"/>
        <w:jc w:val="both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Zweitens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hohe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Verschleiß</w:t>
      </w:r>
      <w:r>
        <w:rPr>
          <w:rFonts w:eastAsia="Times New Roman"/>
          <w:b/>
          <w:bCs/>
          <w:sz w:val="20"/>
          <w:szCs w:val="20"/>
        </w:rPr>
        <w:t>tempo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Hatte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Verschleißkurve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12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flachen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Verlauf</w:t>
      </w:r>
      <w:proofErr w:type="spellEnd"/>
      <w:r>
        <w:rPr>
          <w:rFonts w:eastAsia="Times New Roman"/>
          <w:sz w:val="20"/>
          <w:szCs w:val="20"/>
        </w:rPr>
        <w:t xml:space="preserve"> (um ca. 1%), so </w:t>
      </w:r>
      <w:proofErr w:type="spellStart"/>
      <w:r>
        <w:rPr>
          <w:rFonts w:eastAsia="Times New Roman"/>
          <w:sz w:val="20"/>
          <w:szCs w:val="20"/>
        </w:rPr>
        <w:t>zeigte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einem</w:t>
      </w:r>
      <w:proofErr w:type="spellEnd"/>
      <w:r>
        <w:rPr>
          <w:rFonts w:eastAsia="Times New Roman"/>
          <w:sz w:val="20"/>
          <w:szCs w:val="20"/>
        </w:rPr>
        <w:t xml:space="preserve"> Ab-fall um 9% </w:t>
      </w:r>
      <w:proofErr w:type="spellStart"/>
      <w:r>
        <w:rPr>
          <w:rFonts w:eastAsia="Times New Roman"/>
          <w:sz w:val="20"/>
          <w:szCs w:val="20"/>
        </w:rPr>
        <w:t>steil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unten</w:t>
      </w:r>
      <w:proofErr w:type="spellEnd"/>
      <w:r>
        <w:rPr>
          <w:rFonts w:eastAsia="Times New Roman"/>
          <w:sz w:val="20"/>
          <w:szCs w:val="20"/>
        </w:rPr>
        <w:t xml:space="preserve">. Dies </w:t>
      </w:r>
      <w:proofErr w:type="spellStart"/>
      <w:r>
        <w:rPr>
          <w:rFonts w:eastAsia="Times New Roman"/>
          <w:sz w:val="20"/>
          <w:szCs w:val="20"/>
        </w:rPr>
        <w:t>bedeutet</w:t>
      </w:r>
      <w:proofErr w:type="spellEnd"/>
      <w:r>
        <w:rPr>
          <w:rFonts w:eastAsia="Times New Roman"/>
          <w:sz w:val="20"/>
          <w:szCs w:val="20"/>
        </w:rPr>
        <w:t>, so Carlos Montenegro (IBOPE-</w:t>
      </w:r>
      <w:proofErr w:type="spellStart"/>
      <w:r>
        <w:rPr>
          <w:rFonts w:eastAsia="Times New Roman"/>
          <w:sz w:val="20"/>
          <w:szCs w:val="20"/>
        </w:rPr>
        <w:t>Präsident</w:t>
      </w:r>
      <w:proofErr w:type="spellEnd"/>
      <w:r>
        <w:rPr>
          <w:rFonts w:eastAsia="Times New Roman"/>
          <w:sz w:val="20"/>
          <w:szCs w:val="20"/>
        </w:rPr>
        <w:t xml:space="preserve">), </w:t>
      </w:r>
      <w:proofErr w:type="spellStart"/>
      <w:r>
        <w:rPr>
          <w:rFonts w:eastAsia="Times New Roman"/>
          <w:sz w:val="20"/>
          <w:szCs w:val="20"/>
        </w:rPr>
        <w:t>dass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politische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Negativwachstum</w:t>
      </w:r>
      <w:proofErr w:type="spellEnd"/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979C" w14:textId="77777777" w:rsidR="00E951F1" w:rsidRDefault="00E951F1" w:rsidP="00B40BA8">
      <w:r>
        <w:separator/>
      </w:r>
    </w:p>
  </w:endnote>
  <w:endnote w:type="continuationSeparator" w:id="0">
    <w:p w14:paraId="11A0CBBB" w14:textId="77777777" w:rsidR="00E951F1" w:rsidRDefault="00E951F1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1C8" w14:textId="77777777" w:rsidR="00F24365" w:rsidRDefault="00F24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403FED1F" w:rsidR="00B40BA8" w:rsidRDefault="00B40BA8" w:rsidP="00B40BA8">
    <w:pPr>
      <w:ind w:left="709"/>
      <w:rPr>
        <w:rFonts w:eastAsia="Times New Roman"/>
        <w:sz w:val="18"/>
        <w:szCs w:val="18"/>
      </w:rPr>
    </w:pPr>
    <w:proofErr w:type="spellStart"/>
    <w:r>
      <w:rPr>
        <w:rFonts w:eastAsia="Times New Roman"/>
        <w:sz w:val="18"/>
        <w:szCs w:val="18"/>
      </w:rPr>
      <w:t>Brennpunkt</w:t>
    </w:r>
    <w:proofErr w:type="spellEnd"/>
    <w:r>
      <w:rPr>
        <w:rFonts w:eastAsia="Times New Roman"/>
        <w:sz w:val="18"/>
        <w:szCs w:val="18"/>
      </w:rPr>
      <w:t xml:space="preserve"> </w:t>
    </w:r>
    <w:proofErr w:type="spellStart"/>
    <w:r>
      <w:rPr>
        <w:rFonts w:eastAsia="Times New Roman"/>
        <w:sz w:val="18"/>
        <w:szCs w:val="18"/>
      </w:rPr>
      <w:t>Lateinamerika</w:t>
    </w:r>
    <w:proofErr w:type="spellEnd"/>
    <w:r>
      <w:rPr>
        <w:rFonts w:eastAsia="Times New Roman"/>
        <w:sz w:val="18"/>
        <w:szCs w:val="18"/>
      </w:rPr>
      <w:t xml:space="preserve"> Nr. 09-04</w:t>
    </w:r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97</w:t>
    </w:r>
  </w:p>
  <w:p w14:paraId="076A7FA8" w14:textId="42C62B38" w:rsidR="00B40BA8" w:rsidRDefault="00B40BA8" w:rsidP="00B40BA8">
    <w:pPr>
      <w:pStyle w:val="Footer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8A27" w14:textId="77777777" w:rsidR="00F24365" w:rsidRDefault="00F24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4C3E" w14:textId="77777777" w:rsidR="00E951F1" w:rsidRDefault="00E951F1" w:rsidP="00B40BA8">
      <w:r>
        <w:separator/>
      </w:r>
    </w:p>
  </w:footnote>
  <w:footnote w:type="continuationSeparator" w:id="0">
    <w:p w14:paraId="27A7F478" w14:textId="77777777" w:rsidR="00E951F1" w:rsidRDefault="00E951F1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3203" w14:textId="77777777" w:rsidR="00F24365" w:rsidRDefault="00F24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7F92" w14:textId="77777777" w:rsidR="00F24365" w:rsidRDefault="00F24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D5A4" w14:textId="77777777" w:rsidR="00F24365" w:rsidRDefault="00F24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1FF"/>
    <w:rsid w:val="001511FF"/>
    <w:rsid w:val="00176633"/>
    <w:rsid w:val="00283F87"/>
    <w:rsid w:val="00301AE8"/>
    <w:rsid w:val="00401AA6"/>
    <w:rsid w:val="0076441F"/>
    <w:rsid w:val="008E33A6"/>
    <w:rsid w:val="00923FFD"/>
    <w:rsid w:val="00A96D38"/>
    <w:rsid w:val="00AC62B3"/>
    <w:rsid w:val="00B40BA8"/>
    <w:rsid w:val="00BC0242"/>
    <w:rsid w:val="00C40529"/>
    <w:rsid w:val="00CE71C8"/>
    <w:rsid w:val="00D53E23"/>
    <w:rsid w:val="00D742EC"/>
    <w:rsid w:val="00DD50C4"/>
    <w:rsid w:val="00E177D7"/>
    <w:rsid w:val="00E17A43"/>
    <w:rsid w:val="00E951F1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A8"/>
  </w:style>
  <w:style w:type="paragraph" w:styleId="Footer">
    <w:name w:val="footer"/>
    <w:basedOn w:val="Normal"/>
    <w:link w:val="Foot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18</cp:revision>
  <dcterms:created xsi:type="dcterms:W3CDTF">2020-07-30T11:15:00Z</dcterms:created>
  <dcterms:modified xsi:type="dcterms:W3CDTF">2020-07-30T10:13:00Z</dcterms:modified>
</cp:coreProperties>
</file>