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2000</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https://doi.org/10.1177/1474474008094315</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On Hospice Operations Under Medicare Reimbursement Policies.</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Baris Ata, Bradley L. Killaly, Tava Lennon Olsen, Rodney P. Parker</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"Das Ziel der Untersuchung bestand darin, diejenigen Probleme zu erfassen, an denen die Nutzerinnen und Nutzer der Parkplätze Anstoß nehmen und Möglichkeiten zur Überwindung dieser Probleme sichtbar zu machen. Zur Feststellung des Ist–Zustandes wurde Ende April 1999 eine schriftliche Fragebogenerhebung durchgeführt. Es wurden 990 Fragebogen verteilt. Der Rücklauf beträgt 37%. Die Ergebnisse wurden einer Gruppe ausgewählter Nutzerinnen und Nutzer (Verwaltungskräfte, wissenschaftliche Mitarbeiter, Studenten) vorgestellt. Fußend auf deren eigenen Erfahrungen wurden Vorschläge zur Überwindung der sichtbar gewordenen Mängel erarbeitet. An einem 'Runden Tisch' wurden die Vorschläge der Betreiberseite (dem privaten Unternehmen, das die Parkflächen bewirtschaftet, dem Hersteller der Parkautomaten und der Universitätsverwaltung) vorgestellt und zur Umsetzung empfohlen. Nach Prüfung der Vorschläge auf ihre Realisierbarkeit,</w:t>
        <w:br/>
        <w:t>werden die betreffenden Maßnahmen Ende September 1999 mit der NutzerInnengruppe</w:t>
        <w:br/>
        <w:t>rückgekoppelt." (Textauszug)</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