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Continuous reformulations of discrete-continuous optimization problems.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Oliver Stein, Jan Oldenburg, Wolfgang Marquardt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