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Predicting the Next Big Thing: Success as a Signal of Poor Judgment.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Jerker Denrell, Christina Fang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