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Active Learning in Higher Education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 predictive control of anesthesia under uncertainty.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Alexandra Krieger, Efstratios N. Pistikopoulos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