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spacing w:before="6"/>
        <w:rPr>
          <w:b w:val="0"/>
          <w:bCs w:val="0"/>
          <w:sz w:val="28"/>
          <w:szCs w:val="28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Die E</w:t>
      </w:r>
      <w:r>
        <w:rPr>
          <w:b w:val="1"/>
          <w:bCs w:val="1"/>
          <w:sz w:val="40"/>
          <w:szCs w:val="40"/>
          <w:rtl w:val="0"/>
          <w:lang w:val="es-ES_tradnl"/>
        </w:rPr>
        <w:t>urop</w:t>
      </w:r>
      <w:r>
        <w:rPr>
          <w:b w:val="1"/>
          <w:bCs w:val="1"/>
          <w:sz w:val="40"/>
          <w:szCs w:val="40"/>
          <w:rtl w:val="0"/>
          <w:lang w:val="es-ES_tradnl"/>
        </w:rPr>
        <w:t>ä</w:t>
      </w:r>
      <w:r>
        <w:rPr>
          <w:b w:val="1"/>
          <w:bCs w:val="1"/>
          <w:sz w:val="40"/>
          <w:szCs w:val="40"/>
          <w:rtl w:val="0"/>
          <w:lang w:val="de-DE"/>
        </w:rPr>
        <w:t>ische Union im Spann</w:t>
      </w:r>
      <w:r>
        <w:rPr>
          <w:b w:val="1"/>
          <w:bCs w:val="1"/>
          <w:sz w:val="40"/>
          <w:szCs w:val="40"/>
          <w:rtl w:val="0"/>
          <w:lang w:val="es-ES_tradnl"/>
        </w:rPr>
        <w:t>ungsfel</w:t>
      </w:r>
      <w:r>
        <w:rPr>
          <w:b w:val="1"/>
          <w:bCs w:val="1"/>
          <w:sz w:val="40"/>
          <w:szCs w:val="40"/>
          <w:rtl w:val="0"/>
          <w:lang w:val="de-DE"/>
        </w:rPr>
        <w:t>d von</w:t>
      </w: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de-DE"/>
        </w:rPr>
        <w:t>Identit</w:t>
      </w:r>
      <w:r>
        <w:rPr>
          <w:b w:val="1"/>
          <w:bCs w:val="1"/>
          <w:sz w:val="40"/>
          <w:szCs w:val="40"/>
          <w:rtl w:val="0"/>
          <w:lang w:val="es-ES_tradnl"/>
        </w:rPr>
        <w:t>ä</w:t>
      </w:r>
      <w:r>
        <w:rPr>
          <w:b w:val="1"/>
          <w:bCs w:val="1"/>
          <w:sz w:val="40"/>
          <w:szCs w:val="40"/>
          <w:rtl w:val="0"/>
          <w:lang w:val="de-DE"/>
        </w:rPr>
        <w:t>tss</w:t>
      </w:r>
      <w:r>
        <w:rPr>
          <w:b w:val="1"/>
          <w:bCs w:val="1"/>
          <w:sz w:val="40"/>
          <w:szCs w:val="40"/>
          <w:rtl w:val="0"/>
          <w:lang w:val="es-ES_tradnl"/>
        </w:rPr>
        <w:t>u</w:t>
      </w:r>
      <w:r>
        <w:rPr>
          <w:b w:val="1"/>
          <w:bCs w:val="1"/>
          <w:sz w:val="40"/>
          <w:szCs w:val="40"/>
          <w:rtl w:val="0"/>
          <w:lang w:val="de-DE"/>
        </w:rPr>
        <w:t>che</w:t>
      </w:r>
      <w:r>
        <w:rPr>
          <w:b w:val="1"/>
          <w:bCs w:val="1"/>
          <w:spacing w:val="-76"/>
          <w:sz w:val="40"/>
          <w:szCs w:val="40"/>
          <w:rtl w:val="0"/>
          <w:lang w:val="es-ES_tradnl"/>
        </w:rPr>
        <w:t xml:space="preserve"> </w:t>
      </w:r>
      <w:r>
        <w:rPr>
          <w:b w:val="1"/>
          <w:bCs w:val="1"/>
          <w:sz w:val="40"/>
          <w:szCs w:val="40"/>
          <w:rtl w:val="0"/>
          <w:lang w:val="es-ES_tradnl"/>
        </w:rPr>
        <w:t>und</w:t>
      </w:r>
      <w:r>
        <w:rPr>
          <w:b w:val="1"/>
          <w:bCs w:val="1"/>
          <w:spacing w:val="-75"/>
          <w:sz w:val="40"/>
          <w:szCs w:val="40"/>
          <w:rtl w:val="0"/>
          <w:lang w:val="es-ES_tradnl"/>
        </w:rPr>
        <w:t xml:space="preserve"> </w:t>
      </w:r>
      <w:r>
        <w:rPr>
          <w:b w:val="1"/>
          <w:bCs w:val="1"/>
          <w:sz w:val="40"/>
          <w:szCs w:val="40"/>
          <w:rtl w:val="0"/>
          <w:lang w:val="de-DE"/>
        </w:rPr>
        <w:t>Dip</w:t>
      </w:r>
      <w:r>
        <w:rPr>
          <w:b w:val="1"/>
          <w:bCs w:val="1"/>
          <w:sz w:val="40"/>
          <w:szCs w:val="40"/>
          <w:rtl w:val="0"/>
          <w:lang w:val="es-ES_tradnl"/>
        </w:rPr>
        <w:t>l</w:t>
      </w:r>
      <w:r>
        <w:rPr>
          <w:b w:val="1"/>
          <w:bCs w:val="1"/>
          <w:sz w:val="40"/>
          <w:szCs w:val="40"/>
          <w:rtl w:val="0"/>
          <w:lang w:val="nl-NL"/>
        </w:rPr>
        <w:t>omatie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Schmidt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WP-Zeitschriftenschau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August 2001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