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3240"/>
        <w:gridCol w:w="3040"/>
        <w:gridCol w:w="300"/>
        <w:gridCol w:w="40"/>
      </w:tblGrid>
      <w:tr w:rsidR="00000000">
        <w:trPr>
          <w:trHeight w:val="222"/>
        </w:trPr>
        <w:tc>
          <w:tcPr>
            <w:tcW w:w="6280" w:type="dxa"/>
            <w:gridSpan w:val="2"/>
            <w:shd w:val="clear" w:color="auto" w:fill="auto"/>
            <w:vAlign w:val="bottom"/>
          </w:tcPr>
          <w:p w:rsidR="00000000" w:rsidRDefault="0071126A">
            <w:pPr>
              <w:spacing w:line="0" w:lineRule="atLeast"/>
              <w:ind w:left="20"/>
              <w:rPr>
                <w:rFonts w:ascii="Arial" w:eastAsia="Arial" w:hAnsi="Arial"/>
                <w:sz w:val="18"/>
              </w:rPr>
            </w:pPr>
            <w:bookmarkStart w:id="0" w:name="page1"/>
            <w:bookmarkEnd w:id="0"/>
            <w:r>
              <w:rPr>
                <w:rFonts w:ascii="Arial" w:eastAsia="Arial" w:hAnsi="Arial"/>
                <w:sz w:val="18"/>
              </w:rPr>
              <w:t xml:space="preserve">Methoden </w:t>
            </w:r>
            <w:r>
              <w:rPr>
                <w:rFonts w:ascii="Arial" w:eastAsia="Arial" w:hAnsi="Arial"/>
                <w:sz w:val="18"/>
              </w:rPr>
              <w:t xml:space="preserve">— Daten </w:t>
            </w:r>
            <w:r>
              <w:rPr>
                <w:rFonts w:ascii="Arial" w:eastAsia="Arial" w:hAnsi="Arial"/>
                <w:sz w:val="18"/>
              </w:rPr>
              <w:t>— Analysen · 2009, Jg. 3, Heft 2, S. 137-166</w:t>
            </w:r>
          </w:p>
        </w:tc>
        <w:tc>
          <w:tcPr>
            <w:tcW w:w="340" w:type="dxa"/>
            <w:gridSpan w:val="2"/>
            <w:shd w:val="clear" w:color="auto" w:fill="auto"/>
            <w:vAlign w:val="bottom"/>
          </w:tcPr>
          <w:p w:rsidR="00000000" w:rsidRDefault="0071126A">
            <w:pPr>
              <w:spacing w:line="0" w:lineRule="atLeast"/>
              <w:ind w:left="20"/>
              <w:rPr>
                <w:rFonts w:ascii="Arial" w:eastAsia="Arial" w:hAnsi="Arial"/>
                <w:w w:val="89"/>
                <w:sz w:val="18"/>
              </w:rPr>
            </w:pPr>
            <w:r>
              <w:rPr>
                <w:rFonts w:ascii="Arial" w:eastAsia="Arial" w:hAnsi="Arial"/>
                <w:w w:val="89"/>
                <w:sz w:val="18"/>
              </w:rPr>
              <w:t>137 </w:t>
            </w:r>
          </w:p>
        </w:tc>
      </w:tr>
      <w:tr w:rsidR="00000000">
        <w:trPr>
          <w:trHeight w:val="102"/>
        </w:trPr>
        <w:tc>
          <w:tcPr>
            <w:tcW w:w="3240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00000" w:rsidRDefault="0071126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040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00000" w:rsidRDefault="0071126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00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00000" w:rsidRDefault="0071126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000000" w:rsidRDefault="0071126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733"/>
        </w:trPr>
        <w:tc>
          <w:tcPr>
            <w:tcW w:w="3240" w:type="dxa"/>
            <w:shd w:val="clear" w:color="auto" w:fill="auto"/>
            <w:vAlign w:val="bottom"/>
          </w:tcPr>
          <w:p w:rsidR="00000000" w:rsidRDefault="0071126A">
            <w:pPr>
              <w:spacing w:line="0" w:lineRule="atLeast"/>
              <w:rPr>
                <w:rFonts w:ascii="Arial" w:eastAsia="Arial" w:hAnsi="Arial"/>
                <w:b/>
                <w:sz w:val="36"/>
              </w:rPr>
            </w:pPr>
            <w:r>
              <w:rPr>
                <w:rFonts w:ascii="Arial" w:eastAsia="Arial" w:hAnsi="Arial"/>
                <w:b/>
                <w:sz w:val="36"/>
              </w:rPr>
              <w:t>Der Einfluss von</w:t>
            </w:r>
          </w:p>
        </w:tc>
        <w:tc>
          <w:tcPr>
            <w:tcW w:w="3040" w:type="dxa"/>
            <w:shd w:val="clear" w:color="auto" w:fill="auto"/>
            <w:vAlign w:val="bottom"/>
          </w:tcPr>
          <w:p w:rsidR="00000000" w:rsidRDefault="0071126A">
            <w:pPr>
              <w:spacing w:line="0" w:lineRule="atLeast"/>
              <w:ind w:left="160"/>
              <w:rPr>
                <w:rFonts w:ascii="Arial" w:eastAsia="Arial" w:hAnsi="Arial"/>
                <w:color w:val="4C4C4C"/>
                <w:w w:val="87"/>
                <w:sz w:val="36"/>
              </w:rPr>
            </w:pPr>
            <w:r>
              <w:rPr>
                <w:rFonts w:ascii="Arial" w:eastAsia="Arial" w:hAnsi="Arial"/>
                <w:color w:val="4C4C4C"/>
                <w:w w:val="87"/>
                <w:sz w:val="36"/>
              </w:rPr>
              <w:t>The Effect of Survey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71126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000000" w:rsidRDefault="0071126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432"/>
        </w:trPr>
        <w:tc>
          <w:tcPr>
            <w:tcW w:w="3240" w:type="dxa"/>
            <w:shd w:val="clear" w:color="auto" w:fill="auto"/>
            <w:vAlign w:val="bottom"/>
          </w:tcPr>
          <w:p w:rsidR="00000000" w:rsidRDefault="0071126A">
            <w:pPr>
              <w:spacing w:line="0" w:lineRule="atLeast"/>
              <w:rPr>
                <w:rFonts w:ascii="Arial" w:eastAsia="Arial" w:hAnsi="Arial"/>
                <w:b/>
                <w:w w:val="99"/>
                <w:sz w:val="36"/>
              </w:rPr>
            </w:pPr>
            <w:r>
              <w:rPr>
                <w:rFonts w:ascii="Arial" w:eastAsia="Arial" w:hAnsi="Arial"/>
                <w:b/>
                <w:w w:val="99"/>
                <w:sz w:val="36"/>
              </w:rPr>
              <w:t>Erhebungsformen­</w:t>
            </w:r>
          </w:p>
        </w:tc>
        <w:tc>
          <w:tcPr>
            <w:tcW w:w="3040" w:type="dxa"/>
            <w:shd w:val="clear" w:color="auto" w:fill="auto"/>
            <w:vAlign w:val="bottom"/>
          </w:tcPr>
          <w:p w:rsidR="00000000" w:rsidRDefault="0071126A">
            <w:pPr>
              <w:spacing w:line="0" w:lineRule="atLeast"/>
              <w:ind w:left="160"/>
              <w:rPr>
                <w:rFonts w:ascii="Arial" w:eastAsia="Arial" w:hAnsi="Arial"/>
                <w:color w:val="4C4C4C"/>
                <w:sz w:val="36"/>
              </w:rPr>
            </w:pPr>
            <w:r>
              <w:rPr>
                <w:rFonts w:ascii="Arial" w:eastAsia="Arial" w:hAnsi="Arial"/>
                <w:color w:val="4C4C4C"/>
                <w:sz w:val="36"/>
              </w:rPr>
              <w:t>Methods on the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71126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000000" w:rsidRDefault="0071126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432"/>
        </w:trPr>
        <w:tc>
          <w:tcPr>
            <w:tcW w:w="3240" w:type="dxa"/>
            <w:shd w:val="clear" w:color="auto" w:fill="auto"/>
            <w:vAlign w:val="bottom"/>
          </w:tcPr>
          <w:p w:rsidR="00000000" w:rsidRDefault="0071126A">
            <w:pPr>
              <w:spacing w:line="0" w:lineRule="atLeast"/>
              <w:rPr>
                <w:rFonts w:ascii="Arial" w:eastAsia="Arial" w:hAnsi="Arial"/>
                <w:b/>
                <w:w w:val="90"/>
                <w:sz w:val="36"/>
              </w:rPr>
            </w:pPr>
            <w:r>
              <w:rPr>
                <w:rFonts w:ascii="Arial" w:eastAsia="Arial" w:hAnsi="Arial"/>
                <w:b/>
                <w:w w:val="90"/>
                <w:sz w:val="36"/>
              </w:rPr>
              <w:t>auf den Postmateria-</w:t>
            </w:r>
          </w:p>
        </w:tc>
        <w:tc>
          <w:tcPr>
            <w:tcW w:w="3380" w:type="dxa"/>
            <w:gridSpan w:val="3"/>
            <w:shd w:val="clear" w:color="auto" w:fill="auto"/>
            <w:vAlign w:val="bottom"/>
          </w:tcPr>
          <w:p w:rsidR="00000000" w:rsidRDefault="0071126A">
            <w:pPr>
              <w:spacing w:line="0" w:lineRule="atLeast"/>
              <w:ind w:left="160"/>
              <w:rPr>
                <w:rFonts w:ascii="Arial" w:eastAsia="Arial" w:hAnsi="Arial"/>
                <w:color w:val="4C4C4C"/>
                <w:w w:val="90"/>
                <w:sz w:val="36"/>
              </w:rPr>
            </w:pPr>
            <w:r>
              <w:rPr>
                <w:rFonts w:ascii="Arial" w:eastAsia="Arial" w:hAnsi="Arial"/>
                <w:color w:val="4C4C4C"/>
                <w:w w:val="90"/>
                <w:sz w:val="36"/>
              </w:rPr>
              <w:t>Postmaterialism Index</w:t>
            </w:r>
          </w:p>
        </w:tc>
      </w:tr>
      <w:tr w:rsidR="00000000">
        <w:trPr>
          <w:trHeight w:val="445"/>
        </w:trPr>
        <w:tc>
          <w:tcPr>
            <w:tcW w:w="3240" w:type="dxa"/>
            <w:shd w:val="clear" w:color="auto" w:fill="auto"/>
            <w:vAlign w:val="bottom"/>
          </w:tcPr>
          <w:p w:rsidR="00000000" w:rsidRDefault="0071126A">
            <w:pPr>
              <w:spacing w:line="0" w:lineRule="atLeast"/>
              <w:rPr>
                <w:rFonts w:ascii="Arial" w:eastAsia="Arial" w:hAnsi="Arial"/>
                <w:b/>
                <w:sz w:val="36"/>
              </w:rPr>
            </w:pPr>
            <w:r>
              <w:rPr>
                <w:rFonts w:ascii="Arial" w:eastAsia="Arial" w:hAnsi="Arial"/>
                <w:b/>
                <w:sz w:val="36"/>
              </w:rPr>
              <w:t>lismus-Index</w:t>
            </w:r>
          </w:p>
        </w:tc>
        <w:tc>
          <w:tcPr>
            <w:tcW w:w="3040" w:type="dxa"/>
            <w:shd w:val="clear" w:color="auto" w:fill="auto"/>
            <w:vAlign w:val="bottom"/>
          </w:tcPr>
          <w:p w:rsidR="00000000" w:rsidRDefault="0071126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71126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000000" w:rsidRDefault="0071126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71126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pict>
          <v:rect id="_x0000_s1026" style="position:absolute;margin-left:-.25pt;margin-top:30.55pt;width:328.75pt;height:41.5pt;z-index:-251658752;mso-position-horizontal-relative:text;mso-position-vertical-relative:text" o:userdrawn="t" fillcolor="#e6e6e6" strokecolor="none"/>
        </w:pict>
      </w:r>
    </w:p>
    <w:p w:rsidR="00000000" w:rsidRDefault="0071126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1126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1126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1126A">
      <w:pPr>
        <w:spacing w:line="241" w:lineRule="exact"/>
        <w:rPr>
          <w:rFonts w:ascii="Times New Roman" w:eastAsia="Times New Roman" w:hAnsi="Times New Roman"/>
          <w:sz w:val="24"/>
        </w:rPr>
      </w:pPr>
    </w:p>
    <w:p w:rsidR="00000000" w:rsidRDefault="0071126A">
      <w:pPr>
        <w:spacing w:line="0" w:lineRule="atLeast"/>
        <w:ind w:right="60"/>
        <w:jc w:val="center"/>
        <w:rPr>
          <w:rFonts w:ascii="Arial" w:eastAsia="Arial" w:hAnsi="Arial"/>
          <w:i/>
          <w:sz w:val="28"/>
        </w:rPr>
      </w:pPr>
      <w:r>
        <w:rPr>
          <w:rFonts w:ascii="Arial" w:eastAsia="Arial" w:hAnsi="Arial"/>
          <w:i/>
          <w:sz w:val="28"/>
        </w:rPr>
        <w:t>Jan Marcus</w:t>
      </w:r>
    </w:p>
    <w:p w:rsidR="00000000" w:rsidRDefault="0071126A">
      <w:pPr>
        <w:spacing w:line="0" w:lineRule="atLeast"/>
        <w:ind w:right="60"/>
        <w:jc w:val="center"/>
        <w:rPr>
          <w:rFonts w:ascii="Arial" w:eastAsia="Arial" w:hAnsi="Arial"/>
          <w:i/>
          <w:sz w:val="28"/>
        </w:rPr>
        <w:sectPr w:rsidR="00000000">
          <w:pgSz w:w="8840" w:h="13153"/>
          <w:pgMar w:top="740" w:right="1084" w:bottom="1440" w:left="1140" w:header="0" w:footer="0" w:gutter="0"/>
          <w:cols w:space="0" w:equalWidth="0">
            <w:col w:w="6620"/>
          </w:cols>
          <w:docGrid w:linePitch="360"/>
        </w:sectPr>
      </w:pPr>
    </w:p>
    <w:p w:rsidR="00000000" w:rsidRDefault="0071126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1126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1126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1126A">
      <w:pPr>
        <w:spacing w:line="252" w:lineRule="exact"/>
        <w:rPr>
          <w:rFonts w:ascii="Times New Roman" w:eastAsia="Times New Roman" w:hAnsi="Times New Roman"/>
          <w:sz w:val="24"/>
        </w:rPr>
      </w:pPr>
    </w:p>
    <w:p w:rsidR="00000000" w:rsidRDefault="0071126A">
      <w:pPr>
        <w:spacing w:line="0" w:lineRule="atLeast"/>
        <w:rPr>
          <w:rFonts w:ascii="Arial" w:eastAsia="Arial" w:hAnsi="Arial"/>
          <w:i/>
          <w:sz w:val="18"/>
        </w:rPr>
      </w:pPr>
      <w:r>
        <w:rPr>
          <w:rFonts w:ascii="Arial" w:eastAsia="Arial" w:hAnsi="Arial"/>
          <w:i/>
          <w:sz w:val="18"/>
        </w:rPr>
        <w:t>Zusammenfassung</w:t>
      </w:r>
    </w:p>
    <w:p w:rsidR="00000000" w:rsidRDefault="0071126A">
      <w:pPr>
        <w:spacing w:line="16" w:lineRule="exact"/>
        <w:rPr>
          <w:rFonts w:ascii="Times New Roman" w:eastAsia="Times New Roman" w:hAnsi="Times New Roman"/>
          <w:sz w:val="24"/>
        </w:rPr>
      </w:pPr>
    </w:p>
    <w:p w:rsidR="00000000" w:rsidRDefault="0071126A">
      <w:pPr>
        <w:spacing w:line="310" w:lineRule="auto"/>
        <w:jc w:val="both"/>
        <w:rPr>
          <w:rFonts w:ascii="Arial" w:eastAsia="Arial" w:hAnsi="Arial"/>
          <w:sz w:val="15"/>
        </w:rPr>
      </w:pPr>
      <w:r>
        <w:rPr>
          <w:rFonts w:ascii="Arial" w:eastAsia="Arial" w:hAnsi="Arial"/>
          <w:sz w:val="15"/>
        </w:rPr>
        <w:t>Der vor</w:t>
      </w:r>
      <w:r>
        <w:rPr>
          <w:rFonts w:ascii="Arial" w:eastAsia="Arial" w:hAnsi="Arial"/>
          <w:sz w:val="15"/>
        </w:rPr>
        <w:t>liegende Beitrag ist eine Metaanalyse von 99 deutschen Bevölkerungssurveys aus dem GESIS-Datenarchiv, in denen die post-materialistische Einstellung der Befragten ermittelt wird. Es wird anhand von Mehr­ ebenenmodellen gezeigt, dass sich der Anteil der Pos</w:t>
      </w:r>
      <w:r>
        <w:rPr>
          <w:rFonts w:ascii="Arial" w:eastAsia="Arial" w:hAnsi="Arial"/>
          <w:sz w:val="15"/>
        </w:rPr>
        <w:t>tmaterialisten unter Kontrolle­ von Geburtsjahr der Befragten und Erhebungs-jahr des Surveys überzufällig zwischen den Surveys unterscheidet. Diese Differenzen sind zum Teil auf unterschiedliche Formen der Datenerhebung­ zurückzuführen. Insbe-sondere die A</w:t>
      </w:r>
      <w:r>
        <w:rPr>
          <w:rFonts w:ascii="Arial" w:eastAsia="Arial" w:hAnsi="Arial"/>
          <w:sz w:val="15"/>
        </w:rPr>
        <w:t>LLBUS- und Eurobarometer-Serien differieren stark. Zudem sind ein Institutseffekt­ und ein Effekt durch Quo-tenstichproben auszumachen.</w:t>
      </w:r>
    </w:p>
    <w:p w:rsidR="00000000" w:rsidRDefault="0071126A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15"/>
        </w:rPr>
        <w:br w:type="column"/>
      </w:r>
    </w:p>
    <w:p w:rsidR="00000000" w:rsidRDefault="0071126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1126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1126A">
      <w:pPr>
        <w:spacing w:line="251" w:lineRule="exact"/>
        <w:rPr>
          <w:rFonts w:ascii="Times New Roman" w:eastAsia="Times New Roman" w:hAnsi="Times New Roman"/>
          <w:sz w:val="24"/>
        </w:rPr>
      </w:pPr>
    </w:p>
    <w:p w:rsidR="00000000" w:rsidRDefault="0071126A">
      <w:pPr>
        <w:spacing w:line="0" w:lineRule="atLeast"/>
        <w:rPr>
          <w:rFonts w:ascii="Arial" w:eastAsia="Arial" w:hAnsi="Arial"/>
          <w:i/>
          <w:color w:val="4C4C4C"/>
          <w:sz w:val="18"/>
        </w:rPr>
      </w:pPr>
      <w:r>
        <w:rPr>
          <w:rFonts w:ascii="Arial" w:eastAsia="Arial" w:hAnsi="Arial"/>
          <w:i/>
          <w:color w:val="4C4C4C"/>
          <w:sz w:val="18"/>
        </w:rPr>
        <w:t>Abstract</w:t>
      </w:r>
    </w:p>
    <w:p w:rsidR="00000000" w:rsidRDefault="0071126A">
      <w:pPr>
        <w:spacing w:line="16" w:lineRule="exact"/>
        <w:rPr>
          <w:rFonts w:ascii="Times New Roman" w:eastAsia="Times New Roman" w:hAnsi="Times New Roman"/>
          <w:sz w:val="24"/>
        </w:rPr>
      </w:pPr>
    </w:p>
    <w:p w:rsidR="0071126A" w:rsidRDefault="0071126A">
      <w:pPr>
        <w:spacing w:line="271" w:lineRule="auto"/>
        <w:ind w:right="40"/>
        <w:jc w:val="both"/>
        <w:rPr>
          <w:rFonts w:ascii="Arial" w:eastAsia="Arial" w:hAnsi="Arial"/>
          <w:color w:val="4C4C4C"/>
          <w:sz w:val="17"/>
        </w:rPr>
      </w:pPr>
      <w:r>
        <w:rPr>
          <w:rFonts w:ascii="Arial" w:eastAsia="Arial" w:hAnsi="Arial"/>
          <w:color w:val="4C4C4C"/>
          <w:sz w:val="17"/>
        </w:rPr>
        <w:t xml:space="preserve">This article reports on a meta-analysis of 99 German population surveys from the GESIS Data Archive, all </w:t>
      </w:r>
      <w:r>
        <w:rPr>
          <w:rFonts w:ascii="Arial" w:eastAsia="Arial" w:hAnsi="Arial"/>
          <w:color w:val="4C4C4C"/>
          <w:sz w:val="17"/>
        </w:rPr>
        <w:t>containing the post-materialism question. Using multi-level modelling, it can be shown that the share of postmaterialists significantly varies be-tween the surveys when controlling for respondents</w:t>
      </w:r>
      <w:r>
        <w:rPr>
          <w:rFonts w:ascii="Arial" w:eastAsia="Arial" w:hAnsi="Arial"/>
          <w:color w:val="4C4C4C"/>
          <w:sz w:val="17"/>
        </w:rPr>
        <w:t>‘ year of birth and survey year. These differences can partl</w:t>
      </w:r>
      <w:r>
        <w:rPr>
          <w:rFonts w:ascii="Arial" w:eastAsia="Arial" w:hAnsi="Arial"/>
          <w:color w:val="4C4C4C"/>
          <w:sz w:val="17"/>
        </w:rPr>
        <w:t>y be attributed to varying forms of data collection. In par-ticular the ALLBUS and Eurobarometer sur-veys differ strongly. In addition, house ef-fects and an effect of quota sampling can be found.</w:t>
      </w:r>
    </w:p>
    <w:sectPr w:rsidR="0071126A">
      <w:type w:val="continuous"/>
      <w:pgSz w:w="8840" w:h="13153"/>
      <w:pgMar w:top="740" w:right="1084" w:bottom="1440" w:left="1140" w:header="0" w:footer="0" w:gutter="0"/>
      <w:cols w:num="2" w:space="0" w:equalWidth="0">
        <w:col w:w="3160" w:space="240"/>
        <w:col w:w="32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012F5B"/>
    <w:rsid w:val="00012F5B"/>
    <w:rsid w:val="00711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Prantik Goswami</dc:creator>
  <cp:lastModifiedBy>Prantik Goswami</cp:lastModifiedBy>
  <cp:revision>2</cp:revision>
  <dcterms:created xsi:type="dcterms:W3CDTF">2020-07-26T16:43:00Z</dcterms:created>
  <dcterms:modified xsi:type="dcterms:W3CDTF">2020-07-26T16:43:00Z</dcterms:modified>
</cp:coreProperties>
</file>