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40C" w:rsidRDefault="009E040C">
      <w:pPr>
        <w:spacing w:line="200" w:lineRule="exact"/>
        <w:rPr>
          <w:rFonts w:ascii="Times New Roman" w:eastAsia="Times New Roman" w:hAnsi="Times New Roman"/>
          <w:sz w:val="24"/>
        </w:rPr>
      </w:pPr>
    </w:p>
    <w:tbl>
      <w:tblPr>
        <w:tblStyle w:val="TableGrid"/>
        <w:tblW w:w="0" w:type="auto"/>
        <w:tblInd w:w="108" w:type="dxa"/>
        <w:tblLook w:val="04A0"/>
      </w:tblPr>
      <w:tblGrid>
        <w:gridCol w:w="3780"/>
        <w:gridCol w:w="1890"/>
        <w:gridCol w:w="750"/>
      </w:tblGrid>
      <w:tr w:rsidR="006E56D0" w:rsidTr="007F6D9C">
        <w:trPr>
          <w:trHeight w:val="285"/>
        </w:trPr>
        <w:tc>
          <w:tcPr>
            <w:tcW w:w="5670" w:type="dxa"/>
            <w:gridSpan w:val="2"/>
            <w:tcBorders>
              <w:top w:val="nil"/>
              <w:left w:val="nil"/>
              <w:bottom w:val="single" w:sz="4" w:space="0" w:color="auto"/>
              <w:right w:val="nil"/>
            </w:tcBorders>
          </w:tcPr>
          <w:p w:rsidR="009A0933" w:rsidRDefault="009A0933">
            <w:pPr>
              <w:spacing w:line="200" w:lineRule="exact"/>
              <w:rPr>
                <w:rFonts w:ascii="Arial" w:eastAsia="Arial" w:hAnsi="Arial"/>
                <w:sz w:val="18"/>
                <w:lang w:val="de-DE"/>
              </w:rPr>
            </w:pPr>
          </w:p>
          <w:p w:rsidR="006E56D0" w:rsidRPr="009E5E91" w:rsidRDefault="009E5E91">
            <w:pPr>
              <w:spacing w:line="200" w:lineRule="exact"/>
              <w:rPr>
                <w:rFonts w:ascii="Times New Roman" w:eastAsia="Times New Roman" w:hAnsi="Times New Roman"/>
                <w:sz w:val="24"/>
                <w:lang w:val="de-DE"/>
              </w:rPr>
            </w:pPr>
            <w:r w:rsidRPr="00654F1F">
              <w:rPr>
                <w:rFonts w:ascii="Arial" w:eastAsia="Arial" w:hAnsi="Arial"/>
                <w:sz w:val="18"/>
                <w:lang w:val="de-DE"/>
              </w:rPr>
              <w:t>ZA-Information / Zentralarchiv für Empirische Sozialforschung · 1997, Jg. 3, Heft 2, S. 137-166</w:t>
            </w:r>
          </w:p>
        </w:tc>
        <w:tc>
          <w:tcPr>
            <w:tcW w:w="750" w:type="dxa"/>
            <w:tcBorders>
              <w:top w:val="nil"/>
              <w:left w:val="nil"/>
              <w:bottom w:val="single" w:sz="4" w:space="0" w:color="auto"/>
              <w:right w:val="nil"/>
            </w:tcBorders>
          </w:tcPr>
          <w:p w:rsidR="009A0933" w:rsidRPr="007F6D9C" w:rsidRDefault="009A0933">
            <w:pPr>
              <w:spacing w:line="200" w:lineRule="exact"/>
              <w:rPr>
                <w:rFonts w:ascii="Arial" w:hAnsi="Arial"/>
                <w:w w:val="89"/>
                <w:sz w:val="18"/>
                <w:szCs w:val="18"/>
                <w:lang w:val="de-DE"/>
              </w:rPr>
            </w:pPr>
          </w:p>
          <w:p w:rsidR="006E56D0" w:rsidRDefault="009E5E91">
            <w:pPr>
              <w:spacing w:line="200" w:lineRule="exact"/>
              <w:rPr>
                <w:rFonts w:ascii="Times New Roman" w:eastAsia="Times New Roman" w:hAnsi="Times New Roman"/>
                <w:sz w:val="24"/>
              </w:rPr>
            </w:pPr>
            <w:r w:rsidRPr="00274878">
              <w:rPr>
                <w:rFonts w:ascii="Arial" w:hAnsi="Arial"/>
                <w:w w:val="89"/>
                <w:sz w:val="18"/>
                <w:szCs w:val="18"/>
              </w:rPr>
              <w:t>137</w:t>
            </w:r>
          </w:p>
        </w:tc>
      </w:tr>
      <w:tr w:rsidR="006E56D0" w:rsidTr="007F6D9C">
        <w:tc>
          <w:tcPr>
            <w:tcW w:w="3780" w:type="dxa"/>
            <w:tcBorders>
              <w:top w:val="single" w:sz="4" w:space="0" w:color="auto"/>
              <w:left w:val="nil"/>
              <w:bottom w:val="nil"/>
              <w:right w:val="nil"/>
            </w:tcBorders>
          </w:tcPr>
          <w:p w:rsidR="007F6D9C" w:rsidRDefault="007F6D9C" w:rsidP="009E5E91">
            <w:pPr>
              <w:pStyle w:val="NoSpacing"/>
              <w:rPr>
                <w:rFonts w:ascii="Arial" w:hAnsi="Arial"/>
                <w:b/>
                <w:sz w:val="36"/>
                <w:szCs w:val="36"/>
                <w:lang w:val="de-DE"/>
              </w:rPr>
            </w:pPr>
          </w:p>
          <w:p w:rsidR="006E56D0" w:rsidRPr="009A0933" w:rsidRDefault="009A0933" w:rsidP="009E5E91">
            <w:pPr>
              <w:pStyle w:val="NoSpacing"/>
              <w:rPr>
                <w:rFonts w:ascii="Arial" w:hAnsi="Arial"/>
                <w:b/>
                <w:sz w:val="36"/>
                <w:szCs w:val="36"/>
                <w:lang w:val="de-DE"/>
              </w:rPr>
            </w:pPr>
            <w:r w:rsidRPr="009A0933">
              <w:rPr>
                <w:rFonts w:ascii="Arial" w:hAnsi="Arial"/>
                <w:b/>
                <w:sz w:val="36"/>
                <w:szCs w:val="36"/>
                <w:lang w:val="de-DE"/>
              </w:rPr>
              <w:t>DARWIN: On the Incremental Migration of Legacy Information Systems</w:t>
            </w:r>
          </w:p>
        </w:tc>
        <w:tc>
          <w:tcPr>
            <w:tcW w:w="2640" w:type="dxa"/>
            <w:gridSpan w:val="2"/>
            <w:tcBorders>
              <w:top w:val="single" w:sz="4" w:space="0" w:color="auto"/>
              <w:left w:val="nil"/>
              <w:bottom w:val="nil"/>
              <w:right w:val="nil"/>
            </w:tcBorders>
          </w:tcPr>
          <w:p w:rsidR="006E56D0" w:rsidRPr="009E5E91" w:rsidRDefault="009E5E91" w:rsidP="009E5E91">
            <w:pPr>
              <w:pStyle w:val="Heading1"/>
              <w:rPr>
                <w:rFonts w:ascii="Arial" w:eastAsia="Times New Roman" w:hAnsi="Arial" w:cs="Arial"/>
                <w:sz w:val="36"/>
                <w:szCs w:val="36"/>
              </w:rPr>
            </w:pPr>
            <w:r w:rsidRPr="009A0933">
              <w:rPr>
                <w:rFonts w:ascii="Arial" w:eastAsia="Arial" w:hAnsi="Arial" w:cs="Arial"/>
                <w:b w:val="0"/>
                <w:bCs w:val="0"/>
                <w:color w:val="4C4C4C"/>
                <w:w w:val="87"/>
                <w:sz w:val="36"/>
                <w:szCs w:val="20"/>
              </w:rPr>
              <w:t xml:space="preserve">The Effect of Survey Methods on the </w:t>
            </w:r>
            <w:proofErr w:type="spellStart"/>
            <w:r w:rsidRPr="009A0933">
              <w:rPr>
                <w:rFonts w:ascii="Arial" w:eastAsia="Arial" w:hAnsi="Arial" w:cs="Arial"/>
                <w:b w:val="0"/>
                <w:bCs w:val="0"/>
                <w:color w:val="4C4C4C"/>
                <w:w w:val="87"/>
                <w:sz w:val="36"/>
                <w:szCs w:val="20"/>
              </w:rPr>
              <w:t>Postmaterialism</w:t>
            </w:r>
            <w:proofErr w:type="spellEnd"/>
            <w:r w:rsidRPr="009A0933">
              <w:rPr>
                <w:rFonts w:ascii="Arial" w:eastAsia="Arial" w:hAnsi="Arial" w:cs="Arial"/>
                <w:b w:val="0"/>
                <w:bCs w:val="0"/>
                <w:color w:val="4C4C4C"/>
                <w:w w:val="87"/>
                <w:sz w:val="36"/>
                <w:szCs w:val="20"/>
              </w:rPr>
              <w:t xml:space="preserve"> Index</w:t>
            </w:r>
          </w:p>
        </w:tc>
      </w:tr>
    </w:tbl>
    <w:p w:rsidR="003C3D49" w:rsidRDefault="003C3D49">
      <w:pPr>
        <w:spacing w:line="200" w:lineRule="exact"/>
        <w:rPr>
          <w:rFonts w:ascii="Times New Roman" w:eastAsia="Times New Roman" w:hAnsi="Times New Roman"/>
          <w:sz w:val="24"/>
        </w:rPr>
      </w:pPr>
    </w:p>
    <w:p w:rsidR="003C3D49" w:rsidRDefault="003C3D49">
      <w:pPr>
        <w:spacing w:line="200" w:lineRule="exact"/>
        <w:rPr>
          <w:rFonts w:ascii="Times New Roman" w:eastAsia="Times New Roman" w:hAnsi="Times New Roman"/>
          <w:sz w:val="24"/>
        </w:rPr>
      </w:pPr>
    </w:p>
    <w:p w:rsidR="003C3D49" w:rsidRPr="00F073D2" w:rsidRDefault="00F073D2">
      <w:pPr>
        <w:spacing w:line="200" w:lineRule="exact"/>
        <w:rPr>
          <w:rFonts w:ascii="Times New Roman" w:eastAsia="Times New Roman" w:hAnsi="Times New Roman"/>
          <w:sz w:val="24"/>
          <w:lang w:val="de-DE"/>
        </w:rPr>
      </w:pPr>
      <w:r>
        <w:rPr>
          <w:rFonts w:ascii="Times New Roman" w:eastAsia="Times New Roman" w:hAnsi="Times New Roman"/>
          <w:sz w:val="24"/>
        </w:rPr>
        <w:pict>
          <v:rect id="_x0000_s1026" style="position:absolute;margin-left:-.25pt;margin-top:6.9pt;width:328.75pt;height:66.8pt;z-index:-251658752" o:userdrawn="t" fillcolor="#e6e6e6" strokecolor="none"/>
        </w:pict>
      </w:r>
    </w:p>
    <w:p w:rsidR="003C3D49" w:rsidRPr="00F073D2" w:rsidRDefault="003C3D49">
      <w:pPr>
        <w:spacing w:line="200" w:lineRule="exact"/>
        <w:rPr>
          <w:rFonts w:ascii="Times New Roman" w:eastAsia="Times New Roman" w:hAnsi="Times New Roman"/>
          <w:sz w:val="24"/>
          <w:lang w:val="de-DE"/>
        </w:rPr>
      </w:pPr>
    </w:p>
    <w:p w:rsidR="000152A0" w:rsidRPr="00F073D2" w:rsidRDefault="000152A0">
      <w:pPr>
        <w:spacing w:line="241" w:lineRule="exact"/>
        <w:rPr>
          <w:rFonts w:ascii="Times New Roman" w:eastAsia="Times New Roman" w:hAnsi="Times New Roman"/>
          <w:sz w:val="24"/>
          <w:lang w:val="de-DE"/>
        </w:rPr>
      </w:pPr>
    </w:p>
    <w:p w:rsidR="000152A0" w:rsidRPr="009E040C" w:rsidRDefault="0071126A">
      <w:pPr>
        <w:spacing w:line="0" w:lineRule="atLeast"/>
        <w:ind w:right="60"/>
        <w:jc w:val="center"/>
        <w:rPr>
          <w:rFonts w:ascii="Arial" w:eastAsia="Arial" w:hAnsi="Arial"/>
          <w:i/>
          <w:sz w:val="28"/>
          <w:lang w:val="de-DE"/>
        </w:rPr>
      </w:pPr>
      <w:r w:rsidRPr="009E040C">
        <w:rPr>
          <w:rFonts w:ascii="Arial" w:eastAsia="Arial" w:hAnsi="Arial"/>
          <w:i/>
          <w:sz w:val="28"/>
          <w:lang w:val="de-DE"/>
        </w:rPr>
        <w:t>Michael L. Brodie, Michael Stonebraker</w:t>
      </w:r>
    </w:p>
    <w:p w:rsidR="000152A0" w:rsidRPr="009E040C" w:rsidRDefault="000152A0">
      <w:pPr>
        <w:spacing w:line="0" w:lineRule="atLeast"/>
        <w:ind w:right="60"/>
        <w:jc w:val="center"/>
        <w:rPr>
          <w:rFonts w:ascii="Arial" w:eastAsia="Arial" w:hAnsi="Arial"/>
          <w:i/>
          <w:sz w:val="28"/>
          <w:lang w:val="de-DE"/>
        </w:rPr>
        <w:sectPr w:rsidR="000152A0" w:rsidRPr="009E040C">
          <w:pgSz w:w="8840" w:h="13153"/>
          <w:pgMar w:top="740" w:right="1084" w:bottom="1440" w:left="1140" w:header="0" w:footer="0" w:gutter="0"/>
          <w:cols w:space="0" w:equalWidth="0">
            <w:col w:w="6620"/>
          </w:cols>
          <w:docGrid w:linePitch="360"/>
        </w:sect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52" w:lineRule="exact"/>
        <w:rPr>
          <w:rFonts w:ascii="Times New Roman" w:eastAsia="Times New Roman" w:hAnsi="Times New Roman"/>
          <w:sz w:val="24"/>
          <w:lang w:val="de-DE"/>
        </w:rPr>
      </w:pPr>
    </w:p>
    <w:p w:rsidR="000152A0" w:rsidRPr="009E040C" w:rsidRDefault="0071126A">
      <w:pPr>
        <w:spacing w:line="0" w:lineRule="atLeast"/>
        <w:rPr>
          <w:rFonts w:ascii="Arial" w:eastAsia="Arial" w:hAnsi="Arial"/>
          <w:i/>
          <w:sz w:val="18"/>
          <w:lang w:val="de-DE"/>
        </w:rPr>
      </w:pPr>
      <w:r w:rsidRPr="009E040C">
        <w:rPr>
          <w:rFonts w:ascii="Arial" w:eastAsia="Arial" w:hAnsi="Arial"/>
          <w:i/>
          <w:sz w:val="18"/>
          <w:lang w:val="de-DE"/>
        </w:rPr>
        <w:t>Zusammenfassung</w:t>
      </w:r>
    </w:p>
    <w:p w:rsidR="000152A0" w:rsidRPr="009E040C" w:rsidRDefault="000152A0">
      <w:pPr>
        <w:spacing w:line="16" w:lineRule="exact"/>
        <w:rPr>
          <w:rFonts w:ascii="Times New Roman" w:eastAsia="Times New Roman" w:hAnsi="Times New Roman"/>
          <w:sz w:val="24"/>
          <w:lang w:val="de-DE"/>
        </w:rPr>
      </w:pPr>
    </w:p>
    <w:p w:rsidR="000152A0" w:rsidRPr="00654F1F" w:rsidRDefault="0071126A">
      <w:pPr>
        <w:spacing w:line="310" w:lineRule="auto"/>
        <w:jc w:val="both"/>
        <w:rPr>
          <w:rFonts w:ascii="Arial" w:eastAsia="Arial" w:hAnsi="Arial"/>
          <w:sz w:val="15"/>
          <w:lang w:val="de-DE"/>
        </w:rPr>
      </w:pPr>
      <w:r w:rsidRPr="00654F1F">
        <w:rPr>
          <w:rFonts w:ascii="Arial" w:eastAsia="Arial" w:hAnsi="Arial"/>
          <w:sz w:val="15"/>
          <w:lang w:val="de-DE"/>
        </w:rPr>
      </w:r>
      <w:r w:rsidR="00F073D2">
        <w:rPr>
          <w:rFonts w:ascii="Arial" w:eastAsia="Arial" w:hAnsi="Arial"/>
          <w:sz w:val="15"/>
          <w:lang w:val="de-DE"/>
        </w:rPr>
        <w:t>befragungen von mitarbeitern der verwaltung haben in den städten gegenwärtig konjunktur. seit etwa fünf jahren nutzen zahlreiche personal- und organisationsämter dieses instrument der informationsgewinnung. motor dieser befragungswelle ist die breite bewegung der kommunalen verwaltungsmodernisierung. aus diesem kontext ergeben sich einige besonderheiten dieses befragungstyps, die durch eine am deutschen institut für urbanistik unternommene auswertung von 3o praxisbeispielen kommunaler mitarbeiterbefragungen untersucht worden sind. analyseinstrument hierbei war die demos-datenbank des difu, die für den nachweis kommunaler umfragen eingerichtet worden ist. zu den besonderen merkmalen von mitarbeiterbefragungen gehören eine besondere sensibilität der befragten im hinblick auf den datenschutz,</w:t>
      </w:r>
    </w:p>
    <w:p w:rsidR="000152A0" w:rsidRPr="00654F1F" w:rsidRDefault="0071126A">
      <w:pPr>
        <w:spacing w:line="200" w:lineRule="exact"/>
        <w:rPr>
          <w:rFonts w:ascii="Times New Roman" w:eastAsia="Times New Roman" w:hAnsi="Times New Roman"/>
          <w:sz w:val="24"/>
          <w:lang w:val="de-DE"/>
        </w:rPr>
      </w:pPr>
      <w:r w:rsidRPr="00654F1F">
        <w:rPr>
          <w:rFonts w:ascii="Arial" w:eastAsia="Arial" w:hAnsi="Arial"/>
          <w:sz w:val="15"/>
          <w:lang w:val="de-DE"/>
        </w:rPr>
        <w:br w:type="column"/>
      </w: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51" w:lineRule="exact"/>
        <w:rPr>
          <w:rFonts w:ascii="Times New Roman" w:eastAsia="Times New Roman" w:hAnsi="Times New Roman"/>
          <w:sz w:val="24"/>
          <w:lang w:val="de-DE"/>
        </w:rPr>
      </w:pPr>
    </w:p>
    <w:p w:rsidR="000152A0" w:rsidRDefault="0071126A">
      <w:pPr>
        <w:spacing w:line="0" w:lineRule="atLeast"/>
        <w:rPr>
          <w:rFonts w:ascii="Arial" w:eastAsia="Arial" w:hAnsi="Arial"/>
          <w:i/>
          <w:color w:val="4C4C4C"/>
          <w:sz w:val="18"/>
        </w:rPr>
      </w:pPr>
      <w:r>
        <w:rPr>
          <w:rFonts w:ascii="Arial" w:eastAsia="Arial" w:hAnsi="Arial"/>
          <w:i/>
          <w:color w:val="4C4C4C"/>
          <w:sz w:val="18"/>
        </w:rPr>
        <w:t>Abstract</w:t>
      </w:r>
    </w:p>
    <w:p w:rsidR="000152A0" w:rsidRDefault="000152A0">
      <w:pPr>
        <w:spacing w:line="16" w:lineRule="exact"/>
        <w:rPr>
          <w:rFonts w:ascii="Times New Roman" w:eastAsia="Times New Roman" w:hAnsi="Times New Roman"/>
          <w:sz w:val="24"/>
        </w:rPr>
      </w:pPr>
    </w:p>
    <w:p w:rsidR="0071126A" w:rsidRDefault="0071126A">
      <w:pPr>
        <w:spacing w:line="271" w:lineRule="auto"/>
        <w:ind w:right="40"/>
        <w:jc w:val="both"/>
        <w:rPr>
          <w:rFonts w:ascii="Arial" w:eastAsia="Arial" w:hAnsi="Arial"/>
          <w:color w:val="4C4C4C"/>
          <w:sz w:val="17"/>
        </w:rPr>
      </w:pPr>
      <w:r>
        <w:rPr>
          <w:rFonts w:ascii="Arial" w:eastAsia="Arial" w:hAnsi="Arial"/>
          <w:color w:val="4C4C4C"/>
          <w:sz w:val="17"/>
        </w:rPr>
      </w:r>
      <w:r w:rsidR="00F073D2">
        <w:rPr>
          <w:rFonts w:ascii="Arial" w:eastAsia="Arial" w:hAnsi="Arial"/>
          <w:color w:val="4C4C4C"/>
          <w:sz w:val="17"/>
        </w:rPr>
        <w:t xml:space="preserve">one of the soundest results of empirical social research is that social relationships are marked by a high degree of similarity. where the degree of similarity depends on the variable examined. for example, relative to random pairs of individuals, social relationships among adults form more often between people holding the same educational degree than having the same sex. in addition to the variation of similarity across variables the similarity of relationships also varies within variables. for instance, the alters of young and old people more often fall into the same age group than those of middle aged persons. these results often are explained either by referring to individual motives or by pointing to the opportunity structure, in which the social relationships are formed. in addition </w:t>
      </w:r>
    </w:p>
    <w:sectPr w:rsidR="0071126A" w:rsidSect="000152A0">
      <w:type w:val="continuous"/>
      <w:pgSz w:w="8840" w:h="13153"/>
      <w:pgMar w:top="740" w:right="1084" w:bottom="1440" w:left="1140" w:header="0" w:footer="0" w:gutter="0"/>
      <w:cols w:num="2" w:space="0" w:equalWidth="0">
        <w:col w:w="3160" w:space="240"/>
        <w:col w:w="32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F5B"/>
    <w:rsid w:val="00012F5B"/>
    <w:rsid w:val="000152A0"/>
    <w:rsid w:val="00274878"/>
    <w:rsid w:val="003C3D49"/>
    <w:rsid w:val="003E4D2B"/>
    <w:rsid w:val="00654F1F"/>
    <w:rsid w:val="006E56D0"/>
    <w:rsid w:val="0071126A"/>
    <w:rsid w:val="0073001B"/>
    <w:rsid w:val="007F6D9C"/>
    <w:rsid w:val="008329EC"/>
    <w:rsid w:val="009A0933"/>
    <w:rsid w:val="009E040C"/>
    <w:rsid w:val="009E5E91"/>
    <w:rsid w:val="00A569F8"/>
    <w:rsid w:val="00D87CDE"/>
    <w:rsid w:val="00F073D2"/>
    <w:rsid w:val="00F4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A0"/>
  </w:style>
  <w:style w:type="paragraph" w:styleId="Heading1">
    <w:name w:val="heading 1"/>
    <w:basedOn w:val="Normal"/>
    <w:next w:val="Normal"/>
    <w:link w:val="Heading1Char"/>
    <w:uiPriority w:val="9"/>
    <w:qFormat/>
    <w:rsid w:val="00A569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9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9F8"/>
  </w:style>
  <w:style w:type="character" w:customStyle="1" w:styleId="Heading1Char">
    <w:name w:val="Heading 1 Char"/>
    <w:basedOn w:val="DefaultParagraphFont"/>
    <w:link w:val="Heading1"/>
    <w:uiPriority w:val="9"/>
    <w:rsid w:val="00A56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9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16</cp:revision>
  <dcterms:created xsi:type="dcterms:W3CDTF">2020-07-26T16:43:00Z</dcterms:created>
  <dcterms:modified xsi:type="dcterms:W3CDTF">2020-07-26T23:37:00Z</dcterms:modified>
</cp:coreProperties>
</file>