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2009,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Integrating Object-Oriented Applications and Middleware with Relational Databases.</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Das International Social Survey Programme (ISSP) führt in internationaler Kooperation jährlich eine gemeinsame Umfrage zu allgemeinen gesellschaftlich relevanten Themen durch. Der vorliegende Arbeitsbericht ist ein Datenreport zu einem Thema, dem eine besondere gesellschaftliche Bedeutung zukommt: Einstellungen der Bürger zu Staat und Regierung. Mit Ausnahme eines Themas wurden die analysierten Fragekomplexe mindestens zweimal erhoben und dokumentieren somit den Wandel und die Trends in den jeweiligen Themengebieten. In den einzelnen Kapiteln werden Einstellungen zu Bürgerrechten und Staatsintervention, Staat und soziale Wohlfahrt, Einflussnahme des Staates auf die Wirtschaft, Prioritäten bei staatlichen Ausgaben und die Interaktion zwischen Steuererhebung und Einkommensverteilung analysie</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the article deals with the thesis that traditional affiliations and belief in the good aspects of society are weakened by severe doubts and anomia in transforming societies (cf. emile durkheim and leo srole). large, but even still increasing parts of the german population perceive basic carelessness and disattachement in their social surrounding. multivariate analyses of allbus-data show, to what extent the perception of careless politicians is related to structural locations and individual characteristics. a second articulation of anomia, the notion of a more general carelessness of fellow-men, is rather diffusely spread. finally, the prevalence of a basic optimism towards life is shown for a series of countries (issp-data). (authors abstract)|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