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2001,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Object Data Language Facilities for Multimedia Data Types.</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Die Gesellschaft Sozialwissenschaftlicher Infrastruktureinrichtungen e.V. (GESIS) hat die zentrale Aufgabe sozialwissenschaftlichen Forschung zu unterstützen. Zu den Dienstleistungen der GESIS gehören der Aufbau und das Angebot von Datenbanken mit Informationen zu sozialwissenschaftlicher Literatur und zu Forschungsaktivitäten sowie die Archivierung und Bereitstellung von Umfragedaten aus der Sozialforschung. Wichtige Funktionen sind auch die Beratung in Methodenfragen, die Entwicklung komplexer Methoden der empirischen Sozialforschung sowie die eigenständige Dauerbeobachtung der gesellschaftlichen Entwicklungen mit Hilfe dieser Instrumente. Die Idee, die GESIS-Institute vermittels einer telefonischen Befragung deutschsprachiger Soziologieprofessorinnen und -professoren evaluieren zu lasse</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'applications of long-linear modelling are sometimes prevented by the impression that this technique is not user-friendly. nevertheless, log-linear modelling is nothing more than multiple regression of the logarithms of cell counts on categorical predictors. within this view the importance of the design matrix is easy to understand. the specification of user-defined design matrices within log-linear models allows for very flexible analyses of categorical data. it is shown how such analyses can be done using the spss procedures genlog or loglinear. an empirical example is given based on data from the allbus 1996.' (author's abstract)|</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