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5000"/>
        <w:gridCol w:w="4240"/>
      </w:tblGrid>
      <w:tr w:rsidR="00000000">
        <w:trPr>
          <w:trHeight w:val="1084"/>
        </w:trPr>
        <w:tc>
          <w:tcPr>
            <w:tcW w:w="5000" w:type="dxa"/>
            <w:shd w:val="clear" w:color="auto" w:fill="auto"/>
            <w:vAlign w:val="bottom"/>
          </w:tcPr>
          <w:p w:rsidR="00000000" w:rsidRDefault="00EB6B8C">
            <w:pPr>
              <w:spacing w:line="1079" w:lineRule="exact"/>
              <w:rPr>
                <w:rFonts w:ascii="Arial" w:eastAsia="Arial" w:hAnsi="Arial"/>
                <w:color w:val="00A174"/>
                <w:sz w:val="125"/>
              </w:rPr>
            </w:pPr>
            <w:bookmarkStart w:id="0" w:name="page1"/>
            <w:bookmarkEnd w:id="0"/>
            <w:r>
              <w:rPr>
                <w:rFonts w:ascii="Arial" w:eastAsia="Arial" w:hAnsi="Arial"/>
                <w:sz w:val="121"/>
              </w:rPr>
              <w:t>ISI</w:t>
            </w:r>
            <w:r>
              <w:rPr>
                <w:rFonts w:ascii="Arial" w:eastAsia="Arial" w:hAnsi="Arial"/>
                <w:color w:val="00A174"/>
                <w:sz w:val="125"/>
              </w:rPr>
              <w:t>28</w:t>
            </w:r>
          </w:p>
        </w:tc>
        <w:tc>
          <w:tcPr>
            <w:tcW w:w="424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400"/>
              <w:rPr>
                <w:rFonts w:ascii="Arial" w:eastAsia="Arial" w:hAnsi="Arial"/>
                <w:w w:val="80"/>
                <w:sz w:val="28"/>
              </w:rPr>
            </w:pPr>
            <w:r>
              <w:rPr>
                <w:rFonts w:ascii="Arial" w:eastAsia="Arial" w:hAnsi="Arial"/>
                <w:w w:val="80"/>
                <w:sz w:val="28"/>
              </w:rPr>
              <w:t>Informationsdienst Soziale Indikatoren</w:t>
            </w:r>
          </w:p>
        </w:tc>
      </w:tr>
      <w:tr w:rsidR="00000000">
        <w:trPr>
          <w:trHeight w:val="70"/>
        </w:trPr>
        <w:tc>
          <w:tcPr>
            <w:tcW w:w="50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4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>
        <w:trPr>
          <w:trHeight w:val="1233"/>
        </w:trPr>
        <w:tc>
          <w:tcPr>
            <w:tcW w:w="50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400"/>
              <w:rPr>
                <w:rFonts w:ascii="Arial" w:eastAsia="Arial" w:hAnsi="Arial"/>
                <w:sz w:val="28"/>
              </w:rPr>
            </w:pPr>
            <w:r>
              <w:rPr>
                <w:rFonts w:ascii="Arial" w:eastAsia="Arial" w:hAnsi="Arial"/>
                <w:sz w:val="28"/>
              </w:rPr>
              <w:t>Ausgabe 28</w:t>
            </w:r>
          </w:p>
        </w:tc>
      </w:tr>
      <w:tr w:rsidR="00000000">
        <w:trPr>
          <w:trHeight w:val="350"/>
        </w:trPr>
        <w:tc>
          <w:tcPr>
            <w:tcW w:w="50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400"/>
              <w:rPr>
                <w:rFonts w:ascii="Arial" w:eastAsia="Arial" w:hAnsi="Arial"/>
                <w:sz w:val="28"/>
              </w:rPr>
            </w:pPr>
            <w:r>
              <w:rPr>
                <w:rFonts w:ascii="Arial" w:eastAsia="Arial" w:hAnsi="Arial"/>
                <w:sz w:val="28"/>
              </w:rPr>
              <w:t>Juli 2002</w:t>
            </w:r>
          </w:p>
        </w:tc>
      </w:tr>
    </w:tbl>
    <w:p w:rsidR="00000000" w:rsidRDefault="00EB6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2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Sozialberichterstattung</w:t>
      </w:r>
    </w:p>
    <w:p w:rsidR="00000000" w:rsidRDefault="00EB6B8C">
      <w:pPr>
        <w:spacing w:line="28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2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Gesellschaftliche Trends</w:t>
      </w:r>
    </w:p>
    <w:p w:rsidR="00000000" w:rsidRDefault="00EB6B8C">
      <w:pPr>
        <w:spacing w:line="28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2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Aktuelle Informationen</w:t>
      </w:r>
    </w:p>
    <w:p w:rsidR="00000000" w:rsidRDefault="00EB6B8C">
      <w:pPr>
        <w:spacing w:line="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340"/>
        <w:gridCol w:w="840"/>
        <w:gridCol w:w="1300"/>
        <w:gridCol w:w="80"/>
        <w:gridCol w:w="6660"/>
      </w:tblGrid>
      <w:tr w:rsidR="00000000">
        <w:trPr>
          <w:trHeight w:val="621"/>
        </w:trPr>
        <w:tc>
          <w:tcPr>
            <w:tcW w:w="134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sz w:val="28"/>
              </w:rPr>
            </w:pPr>
            <w:r>
              <w:rPr>
                <w:rFonts w:ascii="Arial" w:eastAsia="Arial" w:hAnsi="Arial"/>
                <w:sz w:val="28"/>
              </w:rPr>
              <w:t>Eine</w:t>
            </w:r>
          </w:p>
        </w:tc>
        <w:tc>
          <w:tcPr>
            <w:tcW w:w="214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right="930"/>
              <w:jc w:val="right"/>
              <w:rPr>
                <w:rFonts w:ascii="Arial" w:eastAsia="Arial" w:hAnsi="Arial"/>
                <w:w w:val="80"/>
                <w:sz w:val="28"/>
              </w:rPr>
            </w:pPr>
            <w:r>
              <w:rPr>
                <w:rFonts w:ascii="Arial" w:eastAsia="Arial" w:hAnsi="Arial"/>
                <w:w w:val="80"/>
                <w:sz w:val="28"/>
              </w:rPr>
              <w:t>Publikation</w:t>
            </w: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60"/>
              <w:rPr>
                <w:rFonts w:ascii="Arial" w:eastAsia="Arial" w:hAnsi="Arial"/>
                <w:w w:val="90"/>
                <w:sz w:val="54"/>
              </w:rPr>
            </w:pPr>
            <w:r>
              <w:rPr>
                <w:rFonts w:ascii="Arial" w:eastAsia="Arial" w:hAnsi="Arial"/>
                <w:w w:val="90"/>
                <w:sz w:val="54"/>
              </w:rPr>
              <w:t>Allmählicher Umbau bei nach</w:t>
            </w:r>
          </w:p>
        </w:tc>
      </w:tr>
      <w:tr w:rsidR="00000000">
        <w:trPr>
          <w:trHeight w:val="94"/>
        </w:trPr>
        <w:tc>
          <w:tcPr>
            <w:tcW w:w="134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14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741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60"/>
              <w:rPr>
                <w:rFonts w:ascii="Arial" w:eastAsia="Arial" w:hAnsi="Arial"/>
                <w:w w:val="91"/>
                <w:sz w:val="54"/>
              </w:rPr>
            </w:pPr>
            <w:r>
              <w:rPr>
                <w:rFonts w:ascii="Arial" w:eastAsia="Arial" w:hAnsi="Arial"/>
                <w:w w:val="91"/>
                <w:sz w:val="54"/>
              </w:rPr>
              <w:t>wie vor deutlichen nationalen</w:t>
            </w:r>
          </w:p>
        </w:tc>
      </w:tr>
      <w:tr w:rsidR="00000000">
        <w:trPr>
          <w:trHeight w:val="648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Arial" w:eastAsia="Arial" w:hAnsi="Arial"/>
                <w:sz w:val="28"/>
              </w:rPr>
              <w:t>Inhalt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60"/>
              <w:rPr>
                <w:rFonts w:ascii="Arial" w:eastAsia="Arial" w:hAnsi="Arial"/>
                <w:sz w:val="54"/>
              </w:rPr>
            </w:pPr>
            <w:r>
              <w:rPr>
                <w:rFonts w:ascii="Arial" w:eastAsia="Arial" w:hAnsi="Arial"/>
                <w:sz w:val="54"/>
              </w:rPr>
              <w:t>Unters</w:t>
            </w:r>
            <w:r>
              <w:rPr>
                <w:rFonts w:ascii="Arial" w:eastAsia="Arial" w:hAnsi="Arial"/>
                <w:sz w:val="54"/>
              </w:rPr>
              <w:t>chieden</w:t>
            </w:r>
          </w:p>
        </w:tc>
      </w:tr>
      <w:tr w:rsidR="00000000">
        <w:trPr>
          <w:trHeight w:val="231"/>
        </w:trPr>
        <w:tc>
          <w:tcPr>
            <w:tcW w:w="2180" w:type="dxa"/>
            <w:gridSpan w:val="2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18"/>
              </w:rPr>
            </w:pPr>
            <w:r>
              <w:rPr>
                <w:rFonts w:ascii="Arial" w:eastAsia="Arial" w:hAnsi="Arial"/>
                <w:w w:val="91"/>
                <w:sz w:val="18"/>
              </w:rPr>
              <w:t>Allmählicher Umbau bei nach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60"/>
              <w:rPr>
                <w:rFonts w:ascii="Arial" w:eastAsia="Arial" w:hAnsi="Arial"/>
                <w:w w:val="89"/>
                <w:sz w:val="28"/>
              </w:rPr>
            </w:pPr>
            <w:r>
              <w:rPr>
                <w:rFonts w:ascii="Arial" w:eastAsia="Arial" w:hAnsi="Arial"/>
                <w:w w:val="89"/>
                <w:sz w:val="28"/>
              </w:rPr>
              <w:t>Analysen zu jüngsten Wandlungstendenzen in westlichen</w:t>
            </w:r>
          </w:p>
        </w:tc>
      </w:tr>
      <w:tr w:rsidR="00000000">
        <w:trPr>
          <w:trHeight w:val="138"/>
        </w:trPr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92"/>
                <w:sz w:val="18"/>
              </w:rPr>
            </w:pPr>
            <w:r>
              <w:rPr>
                <w:rFonts w:ascii="Arial" w:eastAsia="Arial" w:hAnsi="Arial"/>
                <w:w w:val="92"/>
                <w:sz w:val="18"/>
              </w:rPr>
              <w:t>wie vor deutlichen nationalen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72"/>
        </w:trPr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60"/>
              <w:rPr>
                <w:rFonts w:ascii="Arial" w:eastAsia="Arial" w:hAnsi="Arial"/>
                <w:sz w:val="28"/>
              </w:rPr>
            </w:pPr>
            <w:r>
              <w:rPr>
                <w:rFonts w:ascii="Arial" w:eastAsia="Arial" w:hAnsi="Arial"/>
                <w:sz w:val="28"/>
              </w:rPr>
              <w:t>Wohlfahrtsstaaten</w:t>
            </w:r>
          </w:p>
        </w:tc>
      </w:tr>
      <w:tr w:rsidR="00000000">
        <w:trPr>
          <w:trHeight w:val="278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Unterschieden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right="9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52"/>
        </w:trPr>
        <w:tc>
          <w:tcPr>
            <w:tcW w:w="2180" w:type="dxa"/>
            <w:gridSpan w:val="2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86"/>
                <w:sz w:val="18"/>
              </w:rPr>
            </w:pPr>
            <w:r>
              <w:rPr>
                <w:rFonts w:ascii="Arial" w:eastAsia="Arial" w:hAnsi="Arial"/>
                <w:w w:val="86"/>
                <w:sz w:val="18"/>
              </w:rPr>
              <w:t>Informelle Kontakte für Zugang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Beobachter der Sozialpolitik sind sich weitgehend ein</w:t>
            </w:r>
            <w:r>
              <w:rPr>
                <w:rFonts w:ascii="Times New Roman" w:eastAsia="Times New Roman" w:hAnsi="Times New Roman"/>
                <w:i/>
                <w:sz w:val="18"/>
              </w:rPr>
              <w:t>ig darüber, dass die europäischen</w:t>
            </w:r>
          </w:p>
        </w:tc>
      </w:tr>
      <w:tr w:rsidR="00000000">
        <w:trPr>
          <w:trHeight w:val="122"/>
        </w:trPr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zu Jobs wichtiger als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88"/>
        </w:trPr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Sozialstaaten mit einer Reihe von neuen Problemen fertig werden müssen. Bei unter-</w:t>
            </w:r>
          </w:p>
        </w:tc>
      </w:tr>
      <w:tr w:rsidR="00000000">
        <w:trPr>
          <w:trHeight w:val="122"/>
        </w:trPr>
        <w:tc>
          <w:tcPr>
            <w:tcW w:w="134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90"/>
                <w:sz w:val="18"/>
              </w:rPr>
            </w:pPr>
            <w:r>
              <w:rPr>
                <w:rFonts w:ascii="Arial" w:eastAsia="Arial" w:hAnsi="Arial"/>
                <w:w w:val="90"/>
                <w:sz w:val="18"/>
              </w:rPr>
              <w:t>Arbeitsvermittlung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right="9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</w:t>
            </w: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92"/>
        </w:trPr>
        <w:tc>
          <w:tcPr>
            <w:tcW w:w="134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i/>
                <w:w w:val="98"/>
                <w:sz w:val="18"/>
              </w:rPr>
              <w:t>schiedlicher Akzentuierung des genauen Reformbedarfs und der genau einzuschlage</w:t>
            </w:r>
            <w:r>
              <w:rPr>
                <w:rFonts w:ascii="Times New Roman" w:eastAsia="Times New Roman" w:hAnsi="Times New Roman"/>
                <w:i/>
                <w:w w:val="98"/>
                <w:sz w:val="18"/>
              </w:rPr>
              <w:t>nden</w:t>
            </w:r>
          </w:p>
        </w:tc>
      </w:tr>
      <w:tr w:rsidR="00000000">
        <w:trPr>
          <w:trHeight w:val="118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10"/>
        </w:trPr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83"/>
                <w:sz w:val="18"/>
              </w:rPr>
            </w:pPr>
            <w:r>
              <w:rPr>
                <w:rFonts w:ascii="Arial" w:eastAsia="Arial" w:hAnsi="Arial"/>
                <w:w w:val="83"/>
                <w:sz w:val="18"/>
              </w:rPr>
              <w:t>Ankündigung: Datenreport 2002</w:t>
            </w: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right="990"/>
              <w:jc w:val="right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10</w:t>
            </w: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Reformrichtung besteht jenseits politischer Lagerbildungen doch weitgehender Konsens</w:t>
            </w:r>
          </w:p>
        </w:tc>
      </w:tr>
      <w:tr w:rsidR="00000000">
        <w:trPr>
          <w:trHeight w:val="92"/>
        </w:trPr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w w:val="97"/>
                <w:sz w:val="18"/>
              </w:rPr>
            </w:pPr>
            <w:r>
              <w:rPr>
                <w:rFonts w:ascii="Times New Roman" w:eastAsia="Times New Roman" w:hAnsi="Times New Roman"/>
                <w:i/>
                <w:w w:val="97"/>
                <w:sz w:val="18"/>
              </w:rPr>
              <w:t>bezüglich der folgenden Punkte: (1) Der Übergang von der Industriegesellschaft zur post-</w:t>
            </w:r>
          </w:p>
        </w:tc>
      </w:tr>
      <w:tr w:rsidR="00000000">
        <w:trPr>
          <w:trHeight w:val="118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10"/>
        </w:trPr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84"/>
                <w:sz w:val="18"/>
              </w:rPr>
            </w:pPr>
            <w:r>
              <w:rPr>
                <w:rFonts w:ascii="Arial" w:eastAsia="Arial" w:hAnsi="Arial"/>
                <w:w w:val="84"/>
                <w:sz w:val="18"/>
              </w:rPr>
              <w:t>Weiter deutliche Zufriede</w:t>
            </w:r>
            <w:r>
              <w:rPr>
                <w:rFonts w:ascii="Arial" w:eastAsia="Arial" w:hAnsi="Arial"/>
                <w:w w:val="84"/>
                <w:sz w:val="18"/>
              </w:rPr>
              <w:t>nheits-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i/>
                <w:w w:val="98"/>
                <w:sz w:val="18"/>
              </w:rPr>
              <w:t>industriellen Gesellschaft bringt neue und veränderte Bedarfslagen mit sich, so dass eine</w:t>
            </w:r>
          </w:p>
        </w:tc>
      </w:tr>
      <w:tr w:rsidR="00000000">
        <w:trPr>
          <w:trHeight w:val="88"/>
        </w:trPr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Neuausrichtung des Sozialstaats weg von der Konzentration auf inzwischen recht gut</w:t>
            </w:r>
          </w:p>
        </w:tc>
      </w:tr>
      <w:tr w:rsidR="00000000">
        <w:trPr>
          <w:trHeight w:val="122"/>
        </w:trPr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90"/>
                <w:sz w:val="18"/>
              </w:rPr>
            </w:pPr>
            <w:r>
              <w:rPr>
                <w:rFonts w:ascii="Arial" w:eastAsia="Arial" w:hAnsi="Arial"/>
                <w:w w:val="90"/>
                <w:sz w:val="18"/>
              </w:rPr>
              <w:t>differenzen zwischen Ost und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88"/>
        </w:trPr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i/>
                <w:w w:val="98"/>
                <w:sz w:val="18"/>
              </w:rPr>
              <w:t>gelöste Probleme und hin zur Ina</w:t>
            </w:r>
            <w:r>
              <w:rPr>
                <w:rFonts w:ascii="Times New Roman" w:eastAsia="Times New Roman" w:hAnsi="Times New Roman"/>
                <w:i/>
                <w:w w:val="98"/>
                <w:sz w:val="18"/>
              </w:rPr>
              <w:t>ngriffnahme neuer ungelöster Probleme erforderlich ist.</w:t>
            </w:r>
          </w:p>
        </w:tc>
      </w:tr>
      <w:tr w:rsidR="00000000">
        <w:trPr>
          <w:trHeight w:val="122"/>
        </w:trPr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West trotz Annäherung in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88"/>
        </w:trPr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Zu dieser Neuorientierung gehört eine Umschichtung von Renten zu Kinder-/Familien-</w:t>
            </w:r>
          </w:p>
        </w:tc>
      </w:tr>
      <w:tr w:rsidR="00000000">
        <w:trPr>
          <w:trHeight w:val="122"/>
        </w:trPr>
        <w:tc>
          <w:tcPr>
            <w:tcW w:w="134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81"/>
                <w:sz w:val="18"/>
              </w:rPr>
            </w:pPr>
            <w:r>
              <w:rPr>
                <w:rFonts w:ascii="Arial" w:eastAsia="Arial" w:hAnsi="Arial"/>
                <w:w w:val="81"/>
                <w:sz w:val="18"/>
              </w:rPr>
              <w:t>manchen Bereichen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right="990"/>
              <w:jc w:val="right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11</w:t>
            </w: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92"/>
        </w:trPr>
        <w:tc>
          <w:tcPr>
            <w:tcW w:w="134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leistungen, insbesondere die Versorgung mit Kinderbetr</w:t>
            </w: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euungseinrichtungen und Ganz-</w:t>
            </w:r>
          </w:p>
        </w:tc>
      </w:tr>
      <w:tr w:rsidR="00000000">
        <w:trPr>
          <w:trHeight w:val="118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10"/>
        </w:trPr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Social Indicators </w:t>
            </w:r>
            <w:r>
              <w:rPr>
                <w:rFonts w:ascii="Arial" w:eastAsia="Arial" w:hAnsi="Arial"/>
                <w:sz w:val="18"/>
              </w:rPr>
              <w:t>– The EU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tagsschulen, welche den Familien die Bewältigung der Doppelaufgabe von Berufstätig-</w:t>
            </w:r>
          </w:p>
        </w:tc>
      </w:tr>
      <w:tr w:rsidR="00000000">
        <w:trPr>
          <w:trHeight w:val="88"/>
        </w:trPr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keit und Kindererziehung erleichtert; darüber hinaus zählt dazu innerhalb der Zielgrup-</w:t>
            </w:r>
          </w:p>
        </w:tc>
      </w:tr>
      <w:tr w:rsidR="00000000">
        <w:trPr>
          <w:trHeight w:val="122"/>
        </w:trPr>
        <w:tc>
          <w:tcPr>
            <w:tcW w:w="134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81"/>
                <w:sz w:val="18"/>
              </w:rPr>
            </w:pPr>
            <w:r>
              <w:rPr>
                <w:rFonts w:ascii="Arial" w:eastAsia="Arial" w:hAnsi="Arial"/>
                <w:w w:val="81"/>
                <w:sz w:val="18"/>
              </w:rPr>
              <w:t>and Social In</w:t>
            </w:r>
            <w:r>
              <w:rPr>
                <w:rFonts w:ascii="Arial" w:eastAsia="Arial" w:hAnsi="Arial"/>
                <w:w w:val="81"/>
                <w:sz w:val="18"/>
              </w:rPr>
              <w:t>clusion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88"/>
        </w:trPr>
        <w:tc>
          <w:tcPr>
            <w:tcW w:w="134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pe der Altenbevölkerung eine Umschichtung von Rentenzahlungen auf Pflegeleistungen</w:t>
            </w:r>
          </w:p>
        </w:tc>
      </w:tr>
      <w:tr w:rsidR="00000000">
        <w:trPr>
          <w:trHeight w:val="122"/>
        </w:trPr>
        <w:tc>
          <w:tcPr>
            <w:tcW w:w="134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Ein Buchhinweis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right="990"/>
              <w:jc w:val="right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14</w:t>
            </w: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92"/>
        </w:trPr>
        <w:tc>
          <w:tcPr>
            <w:tcW w:w="134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sowie generell eine Umschichtung von Transferzahlungen zu Dienstleistungen und von</w:t>
            </w:r>
          </w:p>
        </w:tc>
      </w:tr>
      <w:tr w:rsidR="00000000">
        <w:trPr>
          <w:trHeight w:val="118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10"/>
        </w:trPr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18"/>
              </w:rPr>
            </w:pPr>
            <w:r>
              <w:rPr>
                <w:rFonts w:ascii="Arial" w:eastAsia="Arial" w:hAnsi="Arial"/>
                <w:w w:val="91"/>
                <w:sz w:val="18"/>
              </w:rPr>
              <w:t>Die Sektion Sozialindikatoren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w w:val="97"/>
                <w:sz w:val="18"/>
              </w:rPr>
            </w:pPr>
            <w:r>
              <w:rPr>
                <w:rFonts w:ascii="Times New Roman" w:eastAsia="Times New Roman" w:hAnsi="Times New Roman"/>
                <w:i/>
                <w:w w:val="97"/>
                <w:sz w:val="18"/>
              </w:rPr>
              <w:t>passiv</w:t>
            </w:r>
            <w:r>
              <w:rPr>
                <w:rFonts w:ascii="Times New Roman" w:eastAsia="Times New Roman" w:hAnsi="Times New Roman"/>
                <w:i/>
                <w:w w:val="97"/>
                <w:sz w:val="18"/>
              </w:rPr>
              <w:t>er sozialer Sicherung zu aktivierenden Bildungsmaßnahmen als Zukunftsinvestition.</w:t>
            </w:r>
          </w:p>
        </w:tc>
      </w:tr>
      <w:tr w:rsidR="00000000">
        <w:trPr>
          <w:trHeight w:val="88"/>
        </w:trPr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(2) Die Finanzierungsbasis des Sozialstaats muss durch eine breitere Streuung der Ko-</w:t>
            </w:r>
          </w:p>
        </w:tc>
      </w:tr>
      <w:tr w:rsidR="00000000">
        <w:trPr>
          <w:trHeight w:val="122"/>
        </w:trPr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auf dem 31. Kongress der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88"/>
        </w:trPr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sten erweitert werden, so dass der Faktor Arbeit en</w:t>
            </w: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tlastet und seine sinkende wirtschaft-</w:t>
            </w:r>
          </w:p>
        </w:tc>
      </w:tr>
      <w:tr w:rsidR="00000000">
        <w:trPr>
          <w:trHeight w:val="122"/>
        </w:trPr>
        <w:tc>
          <w:tcPr>
            <w:tcW w:w="2180" w:type="dxa"/>
            <w:gridSpan w:val="2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Deutschen Gesellschaft für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88"/>
        </w:trPr>
        <w:tc>
          <w:tcPr>
            <w:tcW w:w="2180" w:type="dxa"/>
            <w:gridSpan w:val="2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liche Bedeutung kompensiert wird. Da sich die Relation zwischen Erwerbstätigen und</w:t>
            </w:r>
          </w:p>
        </w:tc>
      </w:tr>
      <w:tr w:rsidR="00000000">
        <w:trPr>
          <w:trHeight w:val="122"/>
        </w:trPr>
        <w:tc>
          <w:tcPr>
            <w:tcW w:w="134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Soziologie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right="990"/>
              <w:jc w:val="right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16</w:t>
            </w: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92"/>
        </w:trPr>
        <w:tc>
          <w:tcPr>
            <w:tcW w:w="134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60" w:type="dxa"/>
            <w:vMerge w:val="restart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Abhängigen in den nächsten zwei bis drei Jahrzehnten krass verschlechtern wi</w:t>
            </w:r>
            <w:r>
              <w:rPr>
                <w:rFonts w:ascii="Times New Roman" w:eastAsia="Times New Roman" w:hAnsi="Times New Roman"/>
                <w:i/>
                <w:sz w:val="18"/>
              </w:rPr>
              <w:t>rd, sind</w:t>
            </w:r>
          </w:p>
        </w:tc>
      </w:tr>
      <w:tr w:rsidR="00000000">
        <w:trPr>
          <w:trHeight w:val="118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60" w:type="dxa"/>
            <w:vMerge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10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große gemeinsame Anstrengungen erforderlich, um den Anteil erwerbstätiger Personen</w:t>
            </w:r>
          </w:p>
        </w:tc>
      </w:tr>
      <w:tr w:rsidR="00000000">
        <w:trPr>
          <w:trHeight w:val="210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so zu erhöhen, dass auch künftig auskömmliche Altersrenten bei erträglicher Beitrags-</w:t>
            </w:r>
          </w:p>
        </w:tc>
      </w:tr>
      <w:tr w:rsidR="00000000">
        <w:trPr>
          <w:trHeight w:val="210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belastung gesichert werden. (3) Der ethnischen und kultur</w:t>
            </w:r>
            <w:r>
              <w:rPr>
                <w:rFonts w:ascii="Times New Roman" w:eastAsia="Times New Roman" w:hAnsi="Times New Roman"/>
                <w:i/>
                <w:sz w:val="18"/>
              </w:rPr>
              <w:t>ellen Heterogenisierung der</w:t>
            </w:r>
          </w:p>
        </w:tc>
      </w:tr>
      <w:tr w:rsidR="00000000">
        <w:trPr>
          <w:trHeight w:val="210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Gesellschaften muss Rechnung getragen werden, denn sie impliziert wohl, dass bedin-</w:t>
            </w:r>
          </w:p>
        </w:tc>
      </w:tr>
      <w:tr w:rsidR="00000000">
        <w:trPr>
          <w:trHeight w:val="210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gungslos gewährte universelle Sozialleistungen mit Grundsicherungscharakter künftig</w:t>
            </w:r>
          </w:p>
        </w:tc>
      </w:tr>
      <w:tr w:rsidR="00000000">
        <w:trPr>
          <w:trHeight w:val="210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w w:val="97"/>
                <w:sz w:val="18"/>
              </w:rPr>
            </w:pPr>
            <w:r>
              <w:rPr>
                <w:rFonts w:ascii="Times New Roman" w:eastAsia="Times New Roman" w:hAnsi="Times New Roman"/>
                <w:i/>
                <w:w w:val="97"/>
                <w:sz w:val="18"/>
              </w:rPr>
              <w:t>auf erhöhte Legitimierungsprobleme stoßen wer</w:t>
            </w:r>
            <w:r>
              <w:rPr>
                <w:rFonts w:ascii="Times New Roman" w:eastAsia="Times New Roman" w:hAnsi="Times New Roman"/>
                <w:i/>
                <w:w w:val="97"/>
                <w:sz w:val="18"/>
              </w:rPr>
              <w:t>den. Im Folgenden soll kurz skizziert wer-</w:t>
            </w:r>
          </w:p>
        </w:tc>
      </w:tr>
      <w:tr w:rsidR="00000000">
        <w:trPr>
          <w:trHeight w:val="210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den, inwiefern sich dieser Anpassungsbedarf bereits in beobachtbaren Veränderungen</w:t>
            </w:r>
          </w:p>
        </w:tc>
      </w:tr>
      <w:tr w:rsidR="00000000">
        <w:trPr>
          <w:trHeight w:val="185"/>
        </w:trPr>
        <w:tc>
          <w:tcPr>
            <w:tcW w:w="13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000000" w:rsidRDefault="00EB6B8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60" w:type="dxa"/>
            <w:shd w:val="clear" w:color="auto" w:fill="auto"/>
            <w:vAlign w:val="bottom"/>
          </w:tcPr>
          <w:p w:rsidR="00000000" w:rsidRDefault="00EB6B8C">
            <w:pPr>
              <w:spacing w:line="184" w:lineRule="exact"/>
              <w:ind w:left="30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 xml:space="preserve">der westeuropäischen Sozialstaaten niedergeschlagen hat </w:t>
            </w:r>
            <w:r>
              <w:rPr>
                <w:rFonts w:ascii="Times New Roman" w:eastAsia="Times New Roman" w:hAnsi="Times New Roman"/>
                <w:i/>
                <w:vertAlign w:val="superscript"/>
              </w:rPr>
              <w:t>1</w:t>
            </w:r>
            <w:r>
              <w:rPr>
                <w:rFonts w:ascii="Times New Roman" w:eastAsia="Times New Roman" w:hAnsi="Times New Roman"/>
                <w:i/>
                <w:sz w:val="18"/>
              </w:rPr>
              <w:t>.</w:t>
            </w:r>
          </w:p>
        </w:tc>
      </w:tr>
    </w:tbl>
    <w:p w:rsidR="00000000" w:rsidRDefault="008D641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noProof/>
          <w:sz w:val="1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-5278120</wp:posOffset>
            </wp:positionV>
            <wp:extent cx="464820" cy="12827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EB6B8C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1900" w:h="16840"/>
          <w:pgMar w:top="0" w:right="840" w:bottom="54" w:left="660" w:header="0" w:footer="0" w:gutter="0"/>
          <w:cols w:space="0" w:equalWidth="0">
            <w:col w:w="10400"/>
          </w:cols>
          <w:docGrid w:linePitch="360"/>
        </w:sectPr>
      </w:pPr>
    </w:p>
    <w:p w:rsidR="00000000" w:rsidRDefault="00EB6B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3680"/>
        <w:rPr>
          <w:rFonts w:ascii="Arial" w:eastAsia="Arial" w:hAnsi="Arial"/>
          <w:b/>
          <w:sz w:val="17"/>
        </w:rPr>
      </w:pPr>
      <w:r>
        <w:rPr>
          <w:rFonts w:ascii="Arial" w:eastAsia="Arial" w:hAnsi="Arial"/>
          <w:b/>
          <w:sz w:val="17"/>
        </w:rPr>
        <w:t>Auf der Ausgabenseite Wendepunkt der</w:t>
      </w:r>
    </w:p>
    <w:p w:rsidR="00000000" w:rsidRDefault="00EB6B8C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368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Sozialstaatsentwi</w:t>
      </w:r>
      <w:r>
        <w:rPr>
          <w:rFonts w:ascii="Arial" w:eastAsia="Arial" w:hAnsi="Arial"/>
          <w:b/>
          <w:sz w:val="16"/>
        </w:rPr>
        <w:t>cklung in den neunziger</w:t>
      </w:r>
    </w:p>
    <w:p w:rsidR="00000000" w:rsidRDefault="00EB6B8C">
      <w:pPr>
        <w:spacing w:line="26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368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Jahren</w:t>
      </w:r>
    </w:p>
    <w:p w:rsidR="00000000" w:rsidRDefault="00EB6B8C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3680"/>
        <w:rPr>
          <w:rFonts w:ascii="Times New Roman" w:eastAsia="Times New Roman" w:hAnsi="Times New Roman"/>
          <w:sz w:val="17"/>
        </w:rPr>
      </w:pPr>
      <w:r>
        <w:rPr>
          <w:rFonts w:ascii="Times New Roman" w:eastAsia="Times New Roman" w:hAnsi="Times New Roman"/>
          <w:sz w:val="17"/>
        </w:rPr>
        <w:t>In den neunziger Jahren ist das Wachstum des</w:t>
      </w:r>
    </w:p>
    <w:p w:rsidR="00000000" w:rsidRDefault="00EB6B8C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3680"/>
        <w:rPr>
          <w:rFonts w:ascii="Times New Roman" w:eastAsia="Times New Roman" w:hAnsi="Times New Roman"/>
          <w:sz w:val="17"/>
        </w:rPr>
      </w:pPr>
      <w:r>
        <w:rPr>
          <w:rFonts w:ascii="Times New Roman" w:eastAsia="Times New Roman" w:hAnsi="Times New Roman"/>
          <w:sz w:val="17"/>
        </w:rPr>
        <w:t>Sozialstaats in praktisch allen OECD-Ländern</w:t>
      </w:r>
    </w:p>
    <w:p w:rsidR="00000000" w:rsidRDefault="00EB6B8C">
      <w:pPr>
        <w:spacing w:line="7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36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zum Ende gekommen. Diverse Schlüsselin-</w:t>
      </w:r>
    </w:p>
    <w:p w:rsidR="00000000" w:rsidRDefault="00EB6B8C">
      <w:pPr>
        <w:spacing w:line="3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36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dikatoren wie etwa Ausgabenquoten der öf-</w:t>
      </w:r>
    </w:p>
    <w:p w:rsidR="00000000" w:rsidRDefault="00EB6B8C">
      <w:pPr>
        <w:spacing w:line="3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36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fentlichen Hand oder die Quote der öffentli-</w:t>
      </w:r>
    </w:p>
    <w:p w:rsidR="00000000" w:rsidRDefault="00EB6B8C">
      <w:pPr>
        <w:spacing w:line="3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36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c</w:t>
      </w:r>
      <w:r>
        <w:rPr>
          <w:rFonts w:ascii="Times New Roman" w:eastAsia="Times New Roman" w:hAnsi="Times New Roman"/>
          <w:sz w:val="18"/>
        </w:rPr>
        <w:t>hen Beschäftigung zeigen, dass der Höhe-</w:t>
      </w:r>
    </w:p>
    <w:p w:rsidR="00000000" w:rsidRDefault="00EB6B8C">
      <w:pPr>
        <w:spacing w:line="3" w:lineRule="exact"/>
        <w:rPr>
          <w:rFonts w:ascii="Times New Roman" w:eastAsia="Times New Roman" w:hAnsi="Times New Roman"/>
          <w:sz w:val="24"/>
        </w:rPr>
      </w:pPr>
    </w:p>
    <w:p w:rsidR="00000000" w:rsidRDefault="00EB6B8C">
      <w:pPr>
        <w:spacing w:line="0" w:lineRule="atLeast"/>
        <w:ind w:left="36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punkt der Entwicklung meist im Zeitraum</w:t>
      </w:r>
    </w:p>
    <w:p w:rsidR="00000000" w:rsidRDefault="00EB6B8C">
      <w:pPr>
        <w:spacing w:line="37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18"/>
        </w:rPr>
        <w:br w:type="column"/>
      </w:r>
    </w:p>
    <w:p w:rsidR="00EB6B8C" w:rsidRDefault="00EB6B8C">
      <w:pPr>
        <w:spacing w:line="258" w:lineRule="auto"/>
        <w:jc w:val="both"/>
        <w:rPr>
          <w:rFonts w:ascii="Times New Roman" w:eastAsia="Times New Roman" w:hAnsi="Times New Roman"/>
          <w:sz w:val="17"/>
        </w:rPr>
      </w:pPr>
      <w:r>
        <w:rPr>
          <w:rFonts w:ascii="Times New Roman" w:eastAsia="Times New Roman" w:hAnsi="Times New Roman"/>
          <w:sz w:val="17"/>
        </w:rPr>
        <w:t>1992-94 erreicht wurde (Tabelle 1). Danach folgte ein Rückgang, der im Durchschnitt der EU-Staaten unter 10 Prozent blieb und auch in überseeischen OECD-Mitgliedsländern nu</w:t>
      </w:r>
      <w:r>
        <w:rPr>
          <w:rFonts w:ascii="Times New Roman" w:eastAsia="Times New Roman" w:hAnsi="Times New Roman"/>
          <w:sz w:val="17"/>
        </w:rPr>
        <w:t>r selten darüber hinausging. In Europa vollzo-gen Finnland, Irland, Großbritannien, die Nie-derlande und Schweden die deutlichste Trend-wende, während sich unter den überseeischen Ländern vor allem Kanada durch die Radika-lität des Trendbruchs auszeichnete</w:t>
      </w:r>
      <w:r>
        <w:rPr>
          <w:rFonts w:ascii="Times New Roman" w:eastAsia="Times New Roman" w:hAnsi="Times New Roman"/>
          <w:sz w:val="17"/>
        </w:rPr>
        <w:t>. Weitge-hend ungebrochen wuchs der Sozialstaat hin-gegen in traditionellen Nachzüglerländern,</w:t>
      </w:r>
    </w:p>
    <w:sectPr w:rsidR="00EB6B8C">
      <w:type w:val="continuous"/>
      <w:pgSz w:w="11900" w:h="16840"/>
      <w:pgMar w:top="0" w:right="840" w:bottom="54" w:left="660" w:header="0" w:footer="0" w:gutter="0"/>
      <w:cols w:num="2" w:space="0" w:equalWidth="0">
        <w:col w:w="6920" w:space="220"/>
        <w:col w:w="32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D6416"/>
    <w:rsid w:val="008D6416"/>
    <w:rsid w:val="00EB6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Prantik Goswami</dc:creator>
  <cp:lastModifiedBy>Prantik Goswami</cp:lastModifiedBy>
  <cp:revision>2</cp:revision>
  <dcterms:created xsi:type="dcterms:W3CDTF">2020-07-26T16:46:00Z</dcterms:created>
  <dcterms:modified xsi:type="dcterms:W3CDTF">2020-07-26T16:46:00Z</dcterms:modified>
</cp:coreProperties>
</file>