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ZUMA Nachrichten Jahrgang 5 ( 2006 )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Effeltrich</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Helmar Gust, Petra Ludewig, Mechthild Rickheit</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Die Struktur des Lexikons fär LILOG</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'mit der achten auflage des jahres 1998 wurde in der einkommens- und verbrauchsstichprobe (evs) eine reihe weitreichender inhaltlicher und methodischer veränderungen realisiert. die quotierungsmerkmale wurden leicht verändert, ein neues hochrechnungsverfahren eingesetzt, erhebungsteile umstrukturiert, die anschreibephase in den haushaltsbüchern wurde verkürzt, der merkmalskatalog wurde überarbeitet und ein neues, international vergleichbares, klassifikationsschema implementiert. die diskussion dieser modifikationen und die beurteilung ihrer konsequenzen für die datenqualität und die vergleichbarkeit mit früheren einkommens- und verbrauchsstichproben sind gegenstand dieses arbeitsberichts. darüber hinaus wird der für den zeitvergleich erforderliche umsteigeschlüssel dargestellt und erläutert.'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'in the 1998 german income and expenditure survey ('einkommens- und verbrauchsstichprobe', evs) which was the eighth data collection after the start of the survey in 1962/63, several important and substantial methodological changes in design and measurement were implemented. changes concerned the quota variables, the method of statistical projection, parts of the questionnaire, the recording period in the diaries, the list of variables and the classification-scheme of goods and services. these modifications are crucial for time comparison and trend analysis of evs. this report documents them and discusses their consequences for data-quality. additionally, a recoding-key is provided, which is necessary to achieve comparability with previous cross-sections.'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