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4F03" w14:textId="4F75848A" w:rsidR="00D74137" w:rsidRPr="00EF30A8" w:rsidRDefault="00C1104C" w:rsidP="00EF30A8">
      <w:pPr>
        <w:ind w:left="8789" w:right="-296"/>
        <w:rPr>
          <w:rFonts w:ascii="Palatino Linotype" w:eastAsia="Palatino Linotype" w:hAnsi="Palatino Linotype" w:cs="Palatino Linotype"/>
          <w:sz w:val="20"/>
          <w:szCs w:val="20"/>
        </w:rPr>
      </w:pPr>
      <w:bookmarkStart w:id="0" w:name="_GoBack"/>
      <w:r w:rsidRPr="00EF30A8">
        <w:rPr>
          <w:rFonts w:ascii="Palatino Linotype" w:eastAsia="Palatino Linotype" w:hAnsi="Palatino Linotype" w:cs="Palatino Linotype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3051C02" wp14:editId="31DF1197">
            <wp:simplePos x="0" y="0"/>
            <wp:positionH relativeFrom="page">
              <wp:posOffset>6248400</wp:posOffset>
            </wp:positionH>
            <wp:positionV relativeFrom="page">
              <wp:posOffset>504825</wp:posOffset>
            </wp:positionV>
            <wp:extent cx="1311910" cy="16668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2647" t="22350"/>
                    <a:stretch/>
                  </pic:blipFill>
                  <pic:spPr bwMode="auto">
                    <a:xfrm>
                      <a:off x="0" y="0"/>
                      <a:ext cx="13119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C64C3">
        <w:rPr>
          <w:rFonts w:ascii="Arial" w:eastAsia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EE85726" wp14:editId="61944FBB">
            <wp:simplePos x="0" y="0"/>
            <wp:positionH relativeFrom="page">
              <wp:posOffset>987</wp:posOffset>
            </wp:positionH>
            <wp:positionV relativeFrom="page">
              <wp:posOffset>-2708</wp:posOffset>
            </wp:positionV>
            <wp:extent cx="7560310" cy="510639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77392"/>
                    <a:stretch/>
                  </pic:blipFill>
                  <pic:spPr bwMode="auto">
                    <a:xfrm>
                      <a:off x="0" y="0"/>
                      <a:ext cx="7560310" cy="51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1BA9" w:rsidRPr="00EF30A8">
        <w:rPr>
          <w:rFonts w:ascii="Palatino Linotype" w:eastAsia="Palatino Linotype" w:hAnsi="Palatino Linotype" w:cs="Palatino Linotype"/>
          <w:sz w:val="20"/>
          <w:szCs w:val="20"/>
        </w:rPr>
        <w:t>Nummer 9</w:t>
      </w:r>
    </w:p>
    <w:p w14:paraId="309B0A1F" w14:textId="143A8B1E" w:rsidR="00D74137" w:rsidRPr="00EF30A8" w:rsidRDefault="00D74137">
      <w:pPr>
        <w:spacing w:line="20" w:lineRule="exact"/>
        <w:rPr>
          <w:rFonts w:ascii="Palatino Linotype" w:eastAsia="Palatino Linotype" w:hAnsi="Palatino Linotype" w:cs="Palatino Linotype"/>
          <w:sz w:val="20"/>
          <w:szCs w:val="20"/>
        </w:rPr>
      </w:pPr>
    </w:p>
    <w:p w14:paraId="46E00D8B" w14:textId="0A007AD9" w:rsidR="00D74137" w:rsidRPr="00EF30A8" w:rsidRDefault="00D74137">
      <w:pPr>
        <w:spacing w:line="287" w:lineRule="exact"/>
        <w:rPr>
          <w:rFonts w:ascii="Palatino Linotype" w:eastAsia="Palatino Linotype" w:hAnsi="Palatino Linotype" w:cs="Palatino Linotype"/>
          <w:sz w:val="20"/>
          <w:szCs w:val="20"/>
        </w:rPr>
      </w:pPr>
    </w:p>
    <w:p w14:paraId="7E44B931" w14:textId="5F0D1801" w:rsidR="00EC1993" w:rsidRDefault="00B51BA9" w:rsidP="00EF30A8">
      <w:pPr>
        <w:ind w:left="8789" w:right="-296"/>
        <w:rPr>
          <w:rFonts w:ascii="Palatino Linotype" w:eastAsia="Palatino Linotype" w:hAnsi="Palatino Linotype" w:cs="Palatino Linotype"/>
          <w:sz w:val="20"/>
          <w:szCs w:val="20"/>
        </w:rPr>
      </w:pPr>
      <w:r w:rsidRPr="00EF30A8">
        <w:rPr>
          <w:rFonts w:ascii="Palatino Linotype" w:eastAsia="Palatino Linotype" w:hAnsi="Palatino Linotype" w:cs="Palatino Linotype"/>
          <w:sz w:val="20"/>
          <w:szCs w:val="20"/>
        </w:rPr>
        <w:t>2008</w:t>
      </w:r>
    </w:p>
    <w:p w14:paraId="28D3A946" w14:textId="77777777" w:rsidR="00C1104C" w:rsidRDefault="00C1104C" w:rsidP="00BA7553">
      <w:pPr>
        <w:spacing w:line="239" w:lineRule="auto"/>
        <w:ind w:right="2360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</w:rPr>
        <w:sectPr w:rsidR="00C1104C" w:rsidSect="00FC64C3">
          <w:footerReference w:type="default" r:id="rId8"/>
          <w:pgSz w:w="11900" w:h="16838"/>
          <w:pgMar w:top="1248" w:right="466" w:bottom="0" w:left="1240" w:header="907" w:footer="0" w:gutter="0"/>
          <w:cols w:space="720" w:equalWidth="0">
            <w:col w:w="10200"/>
          </w:cols>
          <w:docGrid w:linePitch="299"/>
        </w:sectPr>
      </w:pPr>
    </w:p>
    <w:p w14:paraId="611B7163" w14:textId="672936A7" w:rsidR="00D74137" w:rsidRPr="006714B4" w:rsidRDefault="00627FFE" w:rsidP="00C15337">
      <w:pPr>
        <w:spacing w:line="239" w:lineRule="auto"/>
        <w:ind w:left="-567" w:right="-508"/>
        <w:jc w:val="center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  <w:lang w:val="de-DE"/>
        </w:rPr>
      </w:pPr>
      <w:r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  <w:lang w:val="de-DE"/>
        </w:rPr>
        <w:t>eeeeeeeeeeeeeeeeee</w:t>
      </w:r>
    </w:p>
    <w:p w14:paraId="5CC7DF9E" w14:textId="77777777" w:rsidR="00EC1993" w:rsidRPr="009A564E" w:rsidRDefault="00EC1993" w:rsidP="00C1104C">
      <w:pPr>
        <w:spacing w:line="239" w:lineRule="auto"/>
        <w:ind w:right="-1500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  <w:lang w:val="de-DE"/>
        </w:rPr>
      </w:pPr>
    </w:p>
    <w:p w14:paraId="34D62DE8" w14:textId="5DCD8204" w:rsidR="00C1104C" w:rsidRDefault="00C1104C" w:rsidP="00C1104C">
      <w:pPr>
        <w:spacing w:line="239" w:lineRule="auto"/>
        <w:ind w:right="-1500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</w:rPr>
      </w:pPr>
    </w:p>
    <w:p w14:paraId="39CA023B" w14:textId="15C458FE" w:rsidR="00C1104C" w:rsidRDefault="00C1104C" w:rsidP="00C1104C">
      <w:pPr>
        <w:spacing w:line="239" w:lineRule="auto"/>
        <w:ind w:right="-1500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</w:rPr>
      </w:pPr>
    </w:p>
    <w:p w14:paraId="2896CDA9" w14:textId="18910EF0" w:rsidR="00C1104C" w:rsidRPr="009A564E" w:rsidRDefault="00C1104C" w:rsidP="00C1104C">
      <w:pPr>
        <w:spacing w:line="239" w:lineRule="auto"/>
        <w:ind w:right="-1500"/>
        <w:rPr>
          <w:rFonts w:ascii="Palatino Linotype" w:eastAsia="Palatino Linotype" w:hAnsi="Palatino Linotype" w:cs="Palatino Linotype"/>
          <w:color w:val="A6A6A6" w:themeColor="background1" w:themeShade="A6"/>
          <w:sz w:val="20"/>
          <w:szCs w:val="20"/>
          <w:lang w:val="de-DE"/>
        </w:rPr>
      </w:pPr>
      <w:r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  <w:lang w:val="de-DE"/>
        </w:rPr>
        <w:t xml:space="preserve">                           </w:t>
      </w:r>
    </w:p>
    <w:p w14:paraId="43B754E9" w14:textId="3D4CD819" w:rsidR="00FD783D" w:rsidRDefault="009A564E" w:rsidP="00FD783D">
      <w:pPr>
        <w:spacing w:line="239" w:lineRule="auto"/>
        <w:ind w:right="-1500"/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  <w:r>
        <w:rPr>
          <w:rFonts w:ascii="Palatino Linotype" w:eastAsia="Palatino Linotype" w:hAnsi="Palatino Linotype" w:cs="Palatino Linotype"/>
          <w:color w:val="A6A6A6" w:themeColor="background1" w:themeShade="A6"/>
          <w:sz w:val="20"/>
          <w:szCs w:val="20"/>
          <w:lang w:val="de-DE"/>
        </w:rPr>
        <w:t xml:space="preserve">                                                                  </w:t>
      </w:r>
      <w:r w:rsidRPr="009A564E">
        <w:rPr>
          <w:rFonts w:ascii="Palatino Linotype" w:eastAsia="Palatino Linotype" w:hAnsi="Palatino Linotype" w:cs="Palatino Linotype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A6A6A6" w:themeColor="background1" w:themeShade="A6"/>
          <w:sz w:val="20"/>
          <w:szCs w:val="20"/>
          <w:lang w:val="de-DE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,-</w:t>
      </w:r>
      <w:r>
        <w:rPr>
          <w:rFonts w:ascii="Palatino Linotype" w:eastAsia="Palatino Linotype" w:hAnsi="Palatino Linotype" w:cs="Palatino Linotype"/>
          <w:sz w:val="20"/>
          <w:szCs w:val="20"/>
          <w:lang w:val="de-DE"/>
        </w:rPr>
        <w:t xml:space="preserve"> Euro</w:t>
      </w:r>
    </w:p>
    <w:p w14:paraId="05E7301E" w14:textId="77777777" w:rsidR="00FD783D" w:rsidRDefault="00FD783D" w:rsidP="009A564E">
      <w:pPr>
        <w:spacing w:line="239" w:lineRule="auto"/>
        <w:ind w:left="3402" w:right="-1500"/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</w:p>
    <w:p w14:paraId="44C294FC" w14:textId="77777777" w:rsidR="00FD783D" w:rsidRDefault="00FD783D" w:rsidP="009A564E">
      <w:pPr>
        <w:spacing w:line="239" w:lineRule="auto"/>
        <w:ind w:left="3402" w:right="-1500"/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</w:p>
    <w:p w14:paraId="1802449E" w14:textId="33CEDBD4" w:rsidR="009A564E" w:rsidRDefault="009A564E" w:rsidP="009A564E">
      <w:pPr>
        <w:spacing w:line="239" w:lineRule="auto"/>
        <w:ind w:left="3402" w:right="-1500"/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</w:p>
    <w:p w14:paraId="307983E2" w14:textId="2C08E1D6" w:rsidR="009A564E" w:rsidRDefault="009A564E" w:rsidP="00FD783D">
      <w:pPr>
        <w:spacing w:line="239" w:lineRule="auto"/>
        <w:ind w:right="-366"/>
        <w:jc w:val="right"/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  <w:r>
        <w:rPr>
          <w:rFonts w:ascii="Palatino Linotype" w:eastAsia="Palatino Linotype" w:hAnsi="Palatino Linotype" w:cs="Palatino Linotype"/>
          <w:sz w:val="20"/>
          <w:szCs w:val="20"/>
          <w:lang w:val="de-DE"/>
        </w:rPr>
        <w:t>ISHNBB</w:t>
      </w:r>
    </w:p>
    <w:p w14:paraId="3E4F832D" w14:textId="77777777" w:rsidR="00C1104C" w:rsidRDefault="00C1104C" w:rsidP="00C1104C">
      <w:pPr>
        <w:spacing w:line="239" w:lineRule="auto"/>
        <w:ind w:right="-1500"/>
        <w:rPr>
          <w:rFonts w:ascii="Palatino Linotype" w:eastAsia="Palatino Linotype" w:hAnsi="Palatino Linotype" w:cs="Palatino Linotype"/>
          <w:color w:val="A6A6A6" w:themeColor="background1" w:themeShade="A6"/>
          <w:sz w:val="40"/>
          <w:szCs w:val="40"/>
        </w:rPr>
        <w:sectPr w:rsidR="00C1104C" w:rsidSect="00C1104C">
          <w:type w:val="continuous"/>
          <w:pgSz w:w="11900" w:h="16838"/>
          <w:pgMar w:top="1248" w:right="466" w:bottom="0" w:left="1240" w:header="907" w:footer="0" w:gutter="0"/>
          <w:cols w:num="2" w:space="720"/>
          <w:docGrid w:linePitch="299"/>
        </w:sectPr>
      </w:pPr>
    </w:p>
    <w:p w14:paraId="05EAB1FF" w14:textId="60C42F2E" w:rsidR="00D74137" w:rsidRPr="00C1104C" w:rsidRDefault="00B7026A">
      <w:pPr>
        <w:spacing w:line="276" w:lineRule="auto"/>
        <w:ind w:right="3100"/>
        <w:rPr>
          <w:sz w:val="20"/>
          <w:szCs w:val="20"/>
        </w:rPr>
      </w:pPr>
      <w:bookmarkStart w:id="1" w:name="page1"/>
      <w:bookmarkEnd w:id="1"/>
      <w:r w:rsidRPr="00C1104C">
        <w:rPr>
          <w:rFonts w:ascii="Arial" w:eastAsia="Arial" w:hAnsi="Arial" w:cs="Arial"/>
          <w:b/>
          <w:bCs/>
          <w:i/>
          <w:iCs/>
          <w:sz w:val="44"/>
          <w:szCs w:val="44"/>
        </w:rPr>
        <w:t>ggggggg</w:t>
      </w:r>
    </w:p>
    <w:p w14:paraId="17BB473A" w14:textId="77777777" w:rsidR="00D74137" w:rsidRDefault="00D74137">
      <w:pPr>
        <w:spacing w:line="82" w:lineRule="exact"/>
        <w:rPr>
          <w:sz w:val="24"/>
          <w:szCs w:val="24"/>
        </w:rPr>
      </w:pPr>
    </w:p>
    <w:p w14:paraId="06A82968" w14:textId="77777777" w:rsidR="00D74137" w:rsidRDefault="00B51BA9">
      <w:pPr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Juliane Brach</w:t>
      </w:r>
    </w:p>
    <w:p w14:paraId="7C492A22" w14:textId="31F68B3C" w:rsidR="00D74137" w:rsidRDefault="00D74137">
      <w:pPr>
        <w:spacing w:line="387" w:lineRule="exact"/>
        <w:rPr>
          <w:sz w:val="24"/>
          <w:szCs w:val="24"/>
        </w:rPr>
      </w:pPr>
    </w:p>
    <w:p w14:paraId="65CC7A87" w14:textId="04C8B3C0" w:rsidR="00D74137" w:rsidRDefault="00FC64C3" w:rsidP="00FC64C3">
      <w:pPr>
        <w:spacing w:line="239" w:lineRule="auto"/>
        <w:ind w:right="2360"/>
        <w:jc w:val="both"/>
        <w:rPr>
          <w:rFonts w:ascii="Wingdings" w:eastAsia="Wingdings" w:hAnsi="Wingdings" w:cs="Wingdings"/>
          <w:b/>
          <w:bCs/>
          <w:color w:val="7AB51D"/>
          <w:sz w:val="21"/>
          <w:szCs w:val="21"/>
        </w:rPr>
      </w:pPr>
      <w:r w:rsidRPr="00C1104C">
        <w:rPr>
          <w:rFonts w:ascii="Palatino Linotype" w:eastAsia="Palatino Linotype" w:hAnsi="Palatino Linotype" w:cs="Palatino Linotype"/>
          <w:sz w:val="20"/>
          <w:szCs w:val="20"/>
        </w:rPr>
        <w:t>ddsdsdferfeteewfretztztuhgfhgjuzkioio</w:t>
      </w:r>
    </w:p>
    <w:p w14:paraId="70856992" w14:textId="5FEB4B4D" w:rsidR="00D74137" w:rsidRDefault="00D74137">
      <w:pPr>
        <w:spacing w:line="355" w:lineRule="exact"/>
        <w:rPr>
          <w:sz w:val="24"/>
          <w:szCs w:val="24"/>
        </w:rPr>
      </w:pPr>
    </w:p>
    <w:p w14:paraId="492FFFA6" w14:textId="5B5591C9" w:rsidR="00D74137" w:rsidRDefault="00B51BA9">
      <w:pPr>
        <w:tabs>
          <w:tab w:val="left" w:pos="1240"/>
        </w:tabs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i/>
          <w:iCs/>
          <w:sz w:val="20"/>
          <w:szCs w:val="20"/>
        </w:rPr>
        <w:t>Schlagwörter:</w:t>
      </w:r>
      <w:r>
        <w:rPr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i/>
          <w:iCs/>
          <w:sz w:val="19"/>
          <w:szCs w:val="19"/>
        </w:rPr>
        <w:t>Ausländische Direktinvestitionen, Wertschöpfungsketten, wirtschaftliche</w:t>
      </w:r>
    </w:p>
    <w:p w14:paraId="37C03567" w14:textId="7A3F17FE" w:rsidR="00FC64C3" w:rsidRPr="00FC64C3" w:rsidRDefault="00B51BA9">
      <w:pPr>
        <w:ind w:left="1260"/>
        <w:rPr>
          <w:rFonts w:ascii="Palatino Linotype" w:eastAsia="Palatino Linotype" w:hAnsi="Palatino Linotype" w:cs="Palatino Linotype"/>
          <w:i/>
          <w:iCs/>
          <w:sz w:val="20"/>
          <w:szCs w:val="20"/>
          <w:lang w:val="de-DE"/>
        </w:rPr>
      </w:pPr>
      <w:r>
        <w:rPr>
          <w:rFonts w:ascii="Palatino Linotype" w:eastAsia="Palatino Linotype" w:hAnsi="Palatino Linotype" w:cs="Palatino Linotype"/>
          <w:i/>
          <w:iCs/>
          <w:sz w:val="20"/>
          <w:szCs w:val="20"/>
        </w:rPr>
        <w:t>Entwicklung, arabische Länder, EU-Mittelmeerpolitik</w:t>
      </w:r>
    </w:p>
    <w:p w14:paraId="51E8A98C" w14:textId="27A40852" w:rsidR="00FC64C3" w:rsidRDefault="00FC64C3">
      <w:pPr>
        <w:ind w:left="1260"/>
        <w:rPr>
          <w:rFonts w:ascii="Palatino Linotype" w:eastAsia="Palatino Linotype" w:hAnsi="Palatino Linotype" w:cs="Palatino Linotype"/>
          <w:i/>
          <w:iCs/>
          <w:sz w:val="20"/>
          <w:szCs w:val="20"/>
        </w:rPr>
      </w:pPr>
    </w:p>
    <w:p w14:paraId="2B54EBEB" w14:textId="1BD49B7A" w:rsidR="00FC64C3" w:rsidRDefault="00FC64C3">
      <w:pPr>
        <w:ind w:left="1260"/>
        <w:rPr>
          <w:rFonts w:ascii="Palatino Linotype" w:eastAsia="Palatino Linotype" w:hAnsi="Palatino Linotype" w:cs="Palatino Linotype"/>
          <w:i/>
          <w:iCs/>
          <w:sz w:val="20"/>
          <w:szCs w:val="20"/>
        </w:rPr>
      </w:pPr>
    </w:p>
    <w:p w14:paraId="2A031BE1" w14:textId="444FBB68" w:rsidR="00FC64C3" w:rsidRDefault="00FC64C3">
      <w:pPr>
        <w:ind w:left="1260"/>
        <w:rPr>
          <w:rFonts w:ascii="Palatino Linotype" w:eastAsia="Palatino Linotype" w:hAnsi="Palatino Linotype" w:cs="Palatino Linotype"/>
          <w:i/>
          <w:iCs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F581D7E" wp14:editId="5C8FCA9C">
            <wp:simplePos x="0" y="0"/>
            <wp:positionH relativeFrom="column">
              <wp:posOffset>-787400</wp:posOffset>
            </wp:positionH>
            <wp:positionV relativeFrom="page">
              <wp:posOffset>10132828</wp:posOffset>
            </wp:positionV>
            <wp:extent cx="7560310" cy="592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94276"/>
                    <a:stretch/>
                  </pic:blipFill>
                  <pic:spPr bwMode="auto">
                    <a:xfrm>
                      <a:off x="0" y="0"/>
                      <a:ext cx="7569763" cy="5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64AC0" w14:textId="118A4362" w:rsidR="00FC64C3" w:rsidRDefault="00FC64C3">
      <w:pPr>
        <w:ind w:left="1260"/>
        <w:rPr>
          <w:rFonts w:ascii="Palatino Linotype" w:eastAsia="Palatino Linotype" w:hAnsi="Palatino Linotype" w:cs="Palatino Linotype"/>
          <w:i/>
          <w:iCs/>
          <w:sz w:val="20"/>
          <w:szCs w:val="20"/>
        </w:rPr>
        <w:sectPr w:rsidR="00FC64C3" w:rsidSect="00C1104C">
          <w:type w:val="continuous"/>
          <w:pgSz w:w="11900" w:h="16838"/>
          <w:pgMar w:top="1248" w:right="466" w:bottom="0" w:left="1240" w:header="907" w:footer="0" w:gutter="0"/>
          <w:cols w:space="720" w:equalWidth="0">
            <w:col w:w="10200"/>
          </w:cols>
          <w:docGrid w:linePitch="299"/>
        </w:sectPr>
      </w:pPr>
    </w:p>
    <w:p w14:paraId="266D2703" w14:textId="51E1E12D" w:rsidR="00FC64C3" w:rsidRDefault="00FC64C3" w:rsidP="00FC64C3">
      <w:pPr>
        <w:spacing w:line="3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26A1C444" wp14:editId="26F32A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04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E5457" w14:textId="77777777" w:rsidR="00FC64C3" w:rsidRDefault="00FC64C3" w:rsidP="00FC64C3">
      <w:pPr>
        <w:rPr>
          <w:sz w:val="20"/>
          <w:szCs w:val="20"/>
        </w:rPr>
      </w:pPr>
      <w:bookmarkStart w:id="2" w:name="_Hlk46137244"/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1.  Einleitung</w:t>
      </w:r>
    </w:p>
    <w:p w14:paraId="3D765490" w14:textId="77777777" w:rsidR="00FC64C3" w:rsidRDefault="00FC64C3" w:rsidP="00FC64C3">
      <w:pPr>
        <w:spacing w:line="277" w:lineRule="exact"/>
        <w:rPr>
          <w:sz w:val="20"/>
          <w:szCs w:val="20"/>
        </w:rPr>
      </w:pPr>
    </w:p>
    <w:p w14:paraId="7F96F2AC" w14:textId="77777777" w:rsidR="00FC64C3" w:rsidRDefault="00FC64C3" w:rsidP="00FC64C3">
      <w:pPr>
        <w:spacing w:line="242" w:lineRule="auto"/>
        <w:jc w:val="both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Weltweit sind ausländische Direktinvestitionen (FDI) in den vergangenen zwanzig Jahren rapide angestiegen. Während nach wie vor der Großteil innerhalb der industrialisierten Länder investiert wird, spielen FDI inzwischen auch in Entwick­ lungsländern eine wichtige Rolle. Durch konstant hohe Wachstumsraten, die nur vom gegenwär­ tigen Rekordanstieg des Erdölpreises übertroffen werden, haben sich FDI-Nettozuflüsse in Entwick­ lungsländer von gut 25 Mrd. US$ im Jahr 1990 auf 375 Mrd. im Jahr 2006 beinahe verfünfzehnfacht. Während Entwicklungsländer traditionell insbe­ sondere von offiziellen Entwicklungshilfetransfers und Rücküberweisungen von Gastarbeitern und Emigranten an ihre Familien (Remittances) profi­ tierten, haben FDI diese seit Anfang der 1990er im Volumen um ein Vielfaches übertroffen und sich als eine sehr wichtige Quelle externer Finanzströ­ me etabliert (vgl. Abbildung 1).</w:t>
      </w:r>
    </w:p>
    <w:p w14:paraId="5CE8B2EF" w14:textId="77777777" w:rsidR="00FC64C3" w:rsidRDefault="00FC64C3" w:rsidP="00FC64C3">
      <w:pPr>
        <w:spacing w:line="12" w:lineRule="exact"/>
        <w:rPr>
          <w:sz w:val="20"/>
          <w:szCs w:val="20"/>
        </w:rPr>
      </w:pPr>
    </w:p>
    <w:p w14:paraId="55CCAC02" w14:textId="102D0D7F" w:rsidR="007F3B58" w:rsidRDefault="00FC64C3" w:rsidP="007F3B58">
      <w:pPr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Der gesamte Nahe Osten und insbesondere die arabischen Mittelmeerländer profitieren jedoch unterdurchschnittlich von dieser relativ neuen Finanzierungsquelle. Nur gut 5 Prozent der welt­ weiten FDI werden in der arabischen Welt inves­ tiert (vgl. Brach 2007). Zudem leisten FDI zum re­ gionalen Bruttosozialprodukt (BSP) einen Betrag von lediglich rund 3 Prozent (siehe Abbildung 2).</w:t>
      </w:r>
      <w:r w:rsidR="007F3B58">
        <w:rPr>
          <w:rFonts w:ascii="Palatino Linotype" w:eastAsia="Palatino Linotype" w:hAnsi="Palatino Linotype" w:cs="Palatino Linotype"/>
          <w:sz w:val="20"/>
          <w:szCs w:val="20"/>
          <w:lang w:val="de-DE"/>
        </w:rPr>
        <w:t xml:space="preserve"> </w:t>
      </w:r>
      <w:r w:rsidR="007F3B58">
        <w:rPr>
          <w:rFonts w:ascii="Palatino Linotype" w:eastAsia="Palatino Linotype" w:hAnsi="Palatino Linotype" w:cs="Palatino Linotype"/>
          <w:sz w:val="20"/>
          <w:szCs w:val="20"/>
        </w:rPr>
        <w:t xml:space="preserve">Wie verteilen sich die FDI innerhalb der Regi­ on? </w:t>
      </w:r>
      <w:r w:rsidR="007F3B58">
        <w:rPr>
          <w:rFonts w:ascii="Palatino Linotype" w:eastAsia="Palatino Linotype" w:hAnsi="Palatino Linotype" w:cs="Palatino Linotype"/>
          <w:sz w:val="20"/>
          <w:szCs w:val="20"/>
        </w:rPr>
        <w:t>Ist das Fehlen substanzieller FDI für die Ent­ wicklungsperspektiven der arabischen Länder nachteilig? Welche Konsequenzen ergeben sich für nationale und internationale Politikmaßnahmen und für die Politikgestaltung der Europäischen Union? Diese Fragen sollen in diesem Beitrag nä­ her beleuchtet werden.</w:t>
      </w:r>
      <w:r w:rsidR="007F3B58">
        <w:rPr>
          <w:rFonts w:ascii="Palatino Linotype" w:eastAsia="Palatino Linotype" w:hAnsi="Palatino Linotype" w:cs="Palatino Linotype"/>
          <w:sz w:val="20"/>
          <w:szCs w:val="20"/>
          <w:lang w:val="de-DE"/>
        </w:rPr>
        <w:t xml:space="preserve"> </w:t>
      </w:r>
    </w:p>
    <w:p w14:paraId="2B6B6986" w14:textId="77777777" w:rsidR="007F3B58" w:rsidRDefault="007F3B58" w:rsidP="007F3B58">
      <w:pPr>
        <w:rPr>
          <w:rFonts w:ascii="Palatino Linotype" w:eastAsia="Palatino Linotype" w:hAnsi="Palatino Linotype" w:cs="Palatino Linotype"/>
          <w:sz w:val="20"/>
          <w:szCs w:val="20"/>
          <w:lang w:val="de-DE"/>
        </w:rPr>
      </w:pPr>
    </w:p>
    <w:p w14:paraId="605E6E87" w14:textId="21C320C3" w:rsidR="007F3B58" w:rsidRDefault="007F3B58" w:rsidP="007F3B58">
      <w:pPr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2. Ausländische Direktinvestitionen in Nahost</w:t>
      </w:r>
    </w:p>
    <w:p w14:paraId="0D0DE44A" w14:textId="36A6C6F4" w:rsidR="007F3B58" w:rsidRDefault="007F3B58" w:rsidP="007F3B58">
      <w:pPr>
        <w:spacing w:line="242" w:lineRule="auto"/>
        <w:ind w:firstLine="283"/>
        <w:jc w:val="both"/>
        <w:rPr>
          <w:sz w:val="20"/>
          <w:szCs w:val="20"/>
          <w:lang w:val="de-DE"/>
        </w:rPr>
      </w:pPr>
    </w:p>
    <w:p w14:paraId="25CEA10C" w14:textId="118FD501" w:rsidR="00D74137" w:rsidRPr="00EF30A8" w:rsidRDefault="007F3B58" w:rsidP="00665305">
      <w:pPr>
        <w:spacing w:line="255" w:lineRule="auto"/>
        <w:jc w:val="both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sz w:val="19"/>
          <w:szCs w:val="19"/>
        </w:rPr>
        <w:t>Im Unterschied zum weltweit bereits in den 1990er Jahren einsetzenden FDI-Anstieg hat der Nahe Os­ ten erst in den vergangenen fünf Jahren einen An­ stieg von FDI-Zuflüssen zu verzeichnen. Im Jahre 2006 überstiegen die FDI erstmals 50 Mrd. US$. Nach wie vor konzentrieren sich ausländische Investo­ ren in erster Linie auf den Energiesektor und auf die Petrochemie im Allgemeinen. Darüber hinaus dominieren Investitionen in Immobilien und den Tourismus sowie in die Telekommunikationsinfra­ struktur und den Bankensektor. Laut Schätzungen der Weltbank und des Euro-Mediterranen Netz­ werks zur Investitionsförderung handelt es sich vor allem um projektgebundene Investitionen, nicht jedoch um langfristiges Engagement der In­ vestoren. Durch die Fokussierung auf den Erdöl-und Energiesektor konzentrieren sich die FDI auf</w:t>
      </w:r>
      <w:r w:rsidR="00FC64C3">
        <w:rPr>
          <w:rFonts w:ascii="Palatino Linotype" w:eastAsia="Palatino Linotype" w:hAnsi="Palatino Linotype" w:cs="Palatino Linotype"/>
          <w:sz w:val="19"/>
          <w:szCs w:val="19"/>
        </w:rPr>
        <w:t>konzentrieren sich die FDI auf</w:t>
      </w:r>
      <w:bookmarkEnd w:id="2"/>
    </w:p>
    <w:sectPr w:rsidR="00D74137" w:rsidRPr="00EF30A8" w:rsidSect="004D0D4A">
      <w:type w:val="continuous"/>
      <w:pgSz w:w="11900" w:h="16838"/>
      <w:pgMar w:top="1440" w:right="1246" w:bottom="0" w:left="1240" w:header="0" w:footer="0" w:gutter="0"/>
      <w:cols w:num="2" w:space="720" w:equalWidth="0">
        <w:col w:w="4500" w:space="420"/>
        <w:col w:w="4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B791" w14:textId="77777777" w:rsidR="001E3EE1" w:rsidRDefault="001E3EE1" w:rsidP="00EF30A8">
      <w:r>
        <w:separator/>
      </w:r>
    </w:p>
  </w:endnote>
  <w:endnote w:type="continuationSeparator" w:id="0">
    <w:p w14:paraId="247062AB" w14:textId="77777777" w:rsidR="001E3EE1" w:rsidRDefault="001E3EE1" w:rsidP="00EF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8445A" w14:textId="4A2B887C" w:rsidR="00FC64C3" w:rsidRDefault="00FC64C3">
    <w:pPr>
      <w:pStyle w:val="Footer"/>
      <w:rPr>
        <w:noProof/>
        <w:sz w:val="20"/>
        <w:szCs w:val="20"/>
      </w:rPr>
    </w:pPr>
  </w:p>
  <w:p w14:paraId="1EA2D9EE" w14:textId="77777777" w:rsidR="00FC64C3" w:rsidRDefault="00FC64C3">
    <w:pPr>
      <w:pStyle w:val="Footer"/>
      <w:rPr>
        <w:noProof/>
        <w:sz w:val="20"/>
        <w:szCs w:val="20"/>
      </w:rPr>
    </w:pPr>
  </w:p>
  <w:p w14:paraId="5D6C66FA" w14:textId="5C47D10B" w:rsidR="00FC64C3" w:rsidRDefault="001E3EE1" w:rsidP="00FC64C3">
    <w:pPr>
      <w:pStyle w:val="Footer"/>
      <w:tabs>
        <w:tab w:val="clear" w:pos="9072"/>
        <w:tab w:val="left" w:pos="4536"/>
      </w:tabs>
    </w:pPr>
    <w:sdt>
      <w:sdtPr>
        <w:id w:val="969169713"/>
        <w:placeholder>
          <w:docPart w:val="C7A2628812D64BA282A402BD8574201E"/>
        </w:placeholder>
        <w:temporary/>
        <w:showingPlcHdr/>
        <w15:appearance w15:val="hidden"/>
      </w:sdtPr>
      <w:sdtEndPr/>
      <w:sdtContent>
        <w:r w:rsidR="00FC64C3">
          <w:t>[Type here]</w:t>
        </w:r>
      </w:sdtContent>
    </w:sdt>
    <w:r w:rsidR="00FC64C3">
      <w:tab/>
    </w:r>
  </w:p>
  <w:p w14:paraId="05BA46B8" w14:textId="77777777" w:rsidR="00FC64C3" w:rsidRDefault="00FC6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3121A" w14:textId="77777777" w:rsidR="001E3EE1" w:rsidRDefault="001E3EE1" w:rsidP="00EF30A8">
      <w:r>
        <w:separator/>
      </w:r>
    </w:p>
  </w:footnote>
  <w:footnote w:type="continuationSeparator" w:id="0">
    <w:p w14:paraId="53AD8CCF" w14:textId="77777777" w:rsidR="001E3EE1" w:rsidRDefault="001E3EE1" w:rsidP="00EF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5006605C"/>
    <w:lvl w:ilvl="0" w:tplc="0104793C">
      <w:start w:val="1"/>
      <w:numFmt w:val="bullet"/>
      <w:lvlText w:val=""/>
      <w:lvlJc w:val="left"/>
    </w:lvl>
    <w:lvl w:ilvl="1" w:tplc="8C50641E">
      <w:numFmt w:val="decimal"/>
      <w:lvlText w:val=""/>
      <w:lvlJc w:val="left"/>
    </w:lvl>
    <w:lvl w:ilvl="2" w:tplc="525AA25C">
      <w:numFmt w:val="decimal"/>
      <w:lvlText w:val=""/>
      <w:lvlJc w:val="left"/>
    </w:lvl>
    <w:lvl w:ilvl="3" w:tplc="27FC724E">
      <w:numFmt w:val="decimal"/>
      <w:lvlText w:val=""/>
      <w:lvlJc w:val="left"/>
    </w:lvl>
    <w:lvl w:ilvl="4" w:tplc="A2841B06">
      <w:numFmt w:val="decimal"/>
      <w:lvlText w:val=""/>
      <w:lvlJc w:val="left"/>
    </w:lvl>
    <w:lvl w:ilvl="5" w:tplc="32347A6E">
      <w:numFmt w:val="decimal"/>
      <w:lvlText w:val=""/>
      <w:lvlJc w:val="left"/>
    </w:lvl>
    <w:lvl w:ilvl="6" w:tplc="59A0C01E">
      <w:numFmt w:val="decimal"/>
      <w:lvlText w:val=""/>
      <w:lvlJc w:val="left"/>
    </w:lvl>
    <w:lvl w:ilvl="7" w:tplc="B350A634">
      <w:numFmt w:val="decimal"/>
      <w:lvlText w:val=""/>
      <w:lvlJc w:val="left"/>
    </w:lvl>
    <w:lvl w:ilvl="8" w:tplc="9D241C4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137"/>
    <w:rsid w:val="000616DE"/>
    <w:rsid w:val="000C254A"/>
    <w:rsid w:val="001070E5"/>
    <w:rsid w:val="001128A6"/>
    <w:rsid w:val="001223B4"/>
    <w:rsid w:val="001344DB"/>
    <w:rsid w:val="0016613B"/>
    <w:rsid w:val="001E3EE1"/>
    <w:rsid w:val="001F5E3E"/>
    <w:rsid w:val="002253D2"/>
    <w:rsid w:val="002E1095"/>
    <w:rsid w:val="002F7DC4"/>
    <w:rsid w:val="0038121C"/>
    <w:rsid w:val="003B7402"/>
    <w:rsid w:val="003E6054"/>
    <w:rsid w:val="00420647"/>
    <w:rsid w:val="004D0D4A"/>
    <w:rsid w:val="004E4A7E"/>
    <w:rsid w:val="004F1ACA"/>
    <w:rsid w:val="00627FFE"/>
    <w:rsid w:val="00665305"/>
    <w:rsid w:val="006714B4"/>
    <w:rsid w:val="006F3152"/>
    <w:rsid w:val="007776BC"/>
    <w:rsid w:val="007E16AD"/>
    <w:rsid w:val="007F3B58"/>
    <w:rsid w:val="008B1916"/>
    <w:rsid w:val="00921ED2"/>
    <w:rsid w:val="00963F04"/>
    <w:rsid w:val="009A564E"/>
    <w:rsid w:val="009C140D"/>
    <w:rsid w:val="00A967FC"/>
    <w:rsid w:val="00AF7A61"/>
    <w:rsid w:val="00B01606"/>
    <w:rsid w:val="00B51BA9"/>
    <w:rsid w:val="00B7026A"/>
    <w:rsid w:val="00BA7553"/>
    <w:rsid w:val="00BD1367"/>
    <w:rsid w:val="00C1104C"/>
    <w:rsid w:val="00C15337"/>
    <w:rsid w:val="00C46D8B"/>
    <w:rsid w:val="00C96821"/>
    <w:rsid w:val="00CC39FA"/>
    <w:rsid w:val="00D314DD"/>
    <w:rsid w:val="00D74137"/>
    <w:rsid w:val="00DB136E"/>
    <w:rsid w:val="00E762D2"/>
    <w:rsid w:val="00EC1993"/>
    <w:rsid w:val="00EF00DC"/>
    <w:rsid w:val="00EF30A8"/>
    <w:rsid w:val="00F72DF2"/>
    <w:rsid w:val="00FC64C3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4A33"/>
  <w15:docId w15:val="{59654D3B-B57C-4B4B-B611-19BBD1C0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0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A8"/>
  </w:style>
  <w:style w:type="paragraph" w:styleId="Footer">
    <w:name w:val="footer"/>
    <w:basedOn w:val="Normal"/>
    <w:link w:val="FooterChar"/>
    <w:uiPriority w:val="99"/>
    <w:unhideWhenUsed/>
    <w:rsid w:val="00EF30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A8"/>
  </w:style>
  <w:style w:type="paragraph" w:styleId="ListParagraph">
    <w:name w:val="List Paragraph"/>
    <w:basedOn w:val="Normal"/>
    <w:uiPriority w:val="34"/>
    <w:qFormat/>
    <w:rsid w:val="00FC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A2628812D64BA282A402BD8574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C864C-8073-43EB-AEEC-03A4E8A23385}"/>
      </w:docPartPr>
      <w:docPartBody>
        <w:p w:rsidR="00B849D1" w:rsidRDefault="001D4779" w:rsidP="001D4779">
          <w:pPr>
            <w:pStyle w:val="C7A2628812D64BA282A402BD857420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79"/>
    <w:rsid w:val="0013042B"/>
    <w:rsid w:val="00135FB5"/>
    <w:rsid w:val="001D4779"/>
    <w:rsid w:val="002573E5"/>
    <w:rsid w:val="00364ADE"/>
    <w:rsid w:val="003744DB"/>
    <w:rsid w:val="00624DEB"/>
    <w:rsid w:val="006C2391"/>
    <w:rsid w:val="00855F19"/>
    <w:rsid w:val="008F2909"/>
    <w:rsid w:val="0093102A"/>
    <w:rsid w:val="009B24B8"/>
    <w:rsid w:val="009E4146"/>
    <w:rsid w:val="00A6674B"/>
    <w:rsid w:val="00A8784C"/>
    <w:rsid w:val="00AA0A2E"/>
    <w:rsid w:val="00B406F6"/>
    <w:rsid w:val="00B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VI" w:eastAsia="en-V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2628812D64BA282A402BD8574201E">
    <w:name w:val="C7A2628812D64BA282A402BD8574201E"/>
    <w:rsid w:val="001D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48</cp:revision>
  <dcterms:created xsi:type="dcterms:W3CDTF">2020-07-08T22:01:00Z</dcterms:created>
  <dcterms:modified xsi:type="dcterms:W3CDTF">2020-07-20T11:30:00Z</dcterms:modified>
</cp:coreProperties>
</file>