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Prediction Markets: Alternative Mechanisms for Complex Environments with Few Traders.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Paul J. Healy, Sera Linardi, J. Richard Lowery, John O. Ledyard</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'gegenstand des beitrages ist die gegenüberstellung der einkommenssituation privater haushalte in der bundesrepublik deutschland und der deutschen demokratischen republik. mit hilfe von zeitreihen sozialer indikatoren wird die entwicklung ausgewählter monetärer aspekte der materiellen versorgung privater haushalte über einen möglichst langen zeitraum verglichen. soweit die dazu notwendigen daten vorliegen, ist das besondere interesse auf die situation in der ehemaligen ddr unmittelbar vor und nach der politischen wiedervereinigung beider deutscher staaten im jahr 1990 gerichtet, da von diesem ereignis erhebliche veränderungen der einkommens- und verbrauchssituation der bevölkerung ausgingen.'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1/2009,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