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Management Insights.</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Michael F. Gorman</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Die Erwerbschancen der ostdeutschen Bevölkerung entwickeln sich heterogen. Neben der Benachteiligung von bestimmten Randgruppen auf dem Arbeitsmarkt (Behinderte, Langzeitarbeitslose, alleinerziehende Frauen usw.) haben branchenspezifische Unterschiede einen wesentlich stärkeren Einfluß auf die Beschäftigungssituation als im Westen Deutschlands. Durch die neu entstehende Struktur privatwirtschaftlicher Betriebe, die zumeist unter westlicher Leitung stehen, ergibt sich in den einzelnen Branchen eine höchst unterschiedliche Bewertung der vergleichsweise einheitlichen beruflichen Grundbildung der Erwerbstätigen und ihrer am Arbeitsplatz erlangten Qualifikationen. Die in dem Beitrag vorgestellten Befunde beschränken sich auf die Folgen des wirtschaftsstrukturellen Wandels für die individuellen Erwerbschancen innerhalb des ersten Jahres nach der Vereinigung. Hierfür wurden die Daten der ersten beiden Wellen des Sozio-ökonomischen Panels (Juni 1990 und Frühjahr 1991) herangezogen und sowohl im Längsschnitt wie im Querschnitt ausgewertet. (IAB2)</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1/2009,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