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4A2A5" w14:textId="77777777" w:rsidR="008B4508" w:rsidRDefault="008B4508">
      <w:pPr>
        <w:spacing w:line="200" w:lineRule="exact"/>
        <w:rPr>
          <w:sz w:val="24"/>
        </w:rPr>
      </w:pPr>
      <w:bookmarkStart w:id="0" w:name="page1"/>
      <w:bookmarkEnd w:id="0"/>
    </w:p>
    <w:p w14:paraId="65905BDF" w14:textId="77777777" w:rsidR="008B4508" w:rsidRDefault="008B4508">
      <w:pPr>
        <w:spacing w:line="200" w:lineRule="exact"/>
        <w:rPr>
          <w:sz w:val="24"/>
        </w:rPr>
      </w:pPr>
    </w:p>
    <w:p w14:paraId="6E21623C" w14:textId="77777777" w:rsidR="008B4508" w:rsidRDefault="008B4508">
      <w:pPr>
        <w:spacing w:line="359" w:lineRule="exact"/>
        <w:rPr>
          <w:sz w:val="24"/>
        </w:rPr>
      </w:pPr>
    </w:p>
    <w:p w14:paraId="11C28B0A" w14:textId="77777777" w:rsidR="008B4508" w:rsidRPr="00610762" w:rsidRDefault="00E8606D">
      <w:pPr>
        <w:ind w:left="8120"/>
        <w:jc w:val="center"/>
        <w:rPr>
          <w:sz w:val="32"/>
          <w:szCs w:val="32"/>
        </w:rPr>
      </w:pPr>
      <w:r w:rsidRPr="00610762">
        <w:rPr>
          <w:rFonts w:ascii="Arial" w:eastAsia="Arial" w:hAnsi="Arial" w:cs="Arial"/>
          <w:sz w:val="20"/>
          <w:szCs w:val="40"/>
        </w:rPr>
        <w:t xml:space="preserve">Timm </w:t>
      </w:r>
      <w:proofErr w:type="spellStart"/>
      <w:r w:rsidRPr="00610762">
        <w:rPr>
          <w:rFonts w:ascii="Arial" w:eastAsia="Arial" w:hAnsi="Arial" w:cs="Arial"/>
          <w:sz w:val="20"/>
          <w:szCs w:val="40"/>
        </w:rPr>
        <w:t>Oscar Monge-Villora, Manuel Domiacutenguez Pumar, Josep M. Olm</w:t>
      </w:r>
      <w:proofErr w:type="spellEnd"/>
    </w:p>
    <w:p w14:paraId="6F5CC031" w14:textId="77777777" w:rsidR="008B4508" w:rsidRDefault="00E8606D">
      <w:pPr>
        <w:spacing w:line="20" w:lineRule="exact"/>
        <w:rPr>
          <w:sz w:val="24"/>
        </w:rPr>
      </w:pPr>
      <w:r>
        <w:rPr>
          <w:noProof/>
          <w:sz w:val="24"/>
        </w:rPr>
        <w:drawing>
          <wp:anchor distT="0" distB="0" distL="114300" distR="114300" simplePos="0" relativeHeight="251657728" behindDoc="1" locked="0" layoutInCell="0" allowOverlap="1" wp14:anchorId="345D3AAF" wp14:editId="77A12A95">
            <wp:simplePos x="0" y="0"/>
            <wp:positionH relativeFrom="column">
              <wp:posOffset>-157480</wp:posOffset>
            </wp:positionH>
            <wp:positionV relativeFrom="paragraph">
              <wp:posOffset>-134620</wp:posOffset>
            </wp:positionV>
            <wp:extent cx="3999230" cy="255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99230" cy="2558415"/>
                    </a:xfrm>
                    <a:prstGeom prst="rect">
                      <a:avLst/>
                    </a:prstGeom>
                    <a:noFill/>
                  </pic:spPr>
                </pic:pic>
              </a:graphicData>
            </a:graphic>
          </wp:anchor>
        </w:drawing>
      </w:r>
    </w:p>
    <w:p w14:paraId="54461588" w14:textId="77777777" w:rsidR="008B4508" w:rsidRDefault="008B4508">
      <w:pPr>
        <w:spacing w:line="102" w:lineRule="exact"/>
        <w:rPr>
          <w:sz w:val="24"/>
        </w:rPr>
      </w:pPr>
    </w:p>
    <w:p w14:paraId="25A4D8A1" w14:textId="117399CD" w:rsidR="008B4508" w:rsidRDefault="00E8606D" w:rsidP="00E8606D">
      <w:pPr>
        <w:ind w:left="8120"/>
        <w:jc w:val="center"/>
        <w:rPr>
          <w:rFonts w:ascii="Arial" w:eastAsia="Arial" w:hAnsi="Arial" w:cs="Arial"/>
          <w:sz w:val="26"/>
          <w:szCs w:val="26"/>
        </w:rPr>
      </w:pPr>
      <w:proofErr w:type="spellStart"/>
      <w:r>
        <w:rPr>
          <w:rFonts w:ascii="Arial" w:eastAsia="Arial" w:hAnsi="Arial" w:cs="Arial"/>
          <w:sz w:val="26"/>
          <w:szCs w:val="26"/>
          <w:lang w:val="de-DE"/>
        </w:rPr>
        <w:t>Analysis of the dynamics of an active control of the surface potential in metal oxide gas sensors.</w:t>
      </w:r>
      <w:proofErr w:type="spellEnd"/>
      <w:r>
        <w:rPr>
          <w:rFonts w:ascii="Arial" w:eastAsia="Arial" w:hAnsi="Arial" w:cs="Arial"/>
          <w:sz w:val="26"/>
          <w:szCs w:val="26"/>
        </w:rPr>
        <w:t xml:space="preserve"> </w:t>
      </w:r>
    </w:p>
    <w:p w14:paraId="2140FB47" w14:textId="77777777" w:rsidR="00E8606D" w:rsidRDefault="00E8606D" w:rsidP="00E8606D">
      <w:pPr>
        <w:ind w:left="8120"/>
        <w:jc w:val="center"/>
        <w:rPr>
          <w:sz w:val="20"/>
          <w:szCs w:val="20"/>
        </w:rPr>
      </w:pPr>
    </w:p>
    <w:p w14:paraId="401771F4" w14:textId="77777777" w:rsidR="008B4508" w:rsidRDefault="008B4508">
      <w:pPr>
        <w:spacing w:line="200" w:lineRule="exact"/>
        <w:rPr>
          <w:sz w:val="24"/>
        </w:rPr>
      </w:pPr>
    </w:p>
    <w:p w14:paraId="5E7B72D5" w14:textId="77777777" w:rsidR="008B4508" w:rsidRDefault="008B4508">
      <w:pPr>
        <w:spacing w:line="219" w:lineRule="exact"/>
        <w:rPr>
          <w:sz w:val="24"/>
        </w:rPr>
      </w:pPr>
    </w:p>
    <w:p w14:paraId="15D43C6F" w14:textId="65CC6074" w:rsidR="008B4508" w:rsidRDefault="00E8606D" w:rsidP="0038499C">
      <w:pPr>
        <w:spacing w:line="261" w:lineRule="auto"/>
        <w:ind w:left="7860"/>
        <w:rPr>
          <w:sz w:val="20"/>
          <w:szCs w:val="20"/>
        </w:rPr>
      </w:pPr>
      <w:r>
        <w:rPr>
          <w:rFonts w:ascii="Garamond" w:eastAsia="Garamond" w:hAnsi="Garamond" w:cs="Garamond"/>
          <w:sz w:val="21"/>
          <w:szCs w:val="21"/>
        </w:rPr>
        <w:t xml:space="preserve">'mit dem neuen heimatschutzministerium (department of homeland security) wurde ein kernstück der 'nationalen heimatschutzstrategie' von präsident george w. bush verwirklicht. es ist teil des umfangreichsten umbaus der us-regierungsorganisation seit ende des zweiten weltkrieges. wie wenig dieser umbau die effizienz des amerikanischen heimatschutzes erhöht hat, legte hurrikan 'katrina' offen. dabei hat die neue behörde bereits eine reihe von maßnahmen getroffen, die sich auch international auswirken. im zuge der neugestaltung des us-heimatschutzes werden andere nationen mit der forderung konfrontiert, sich amerikanischen sicherheitsbedürfnissen und -maßnahmen zu fügen. die staaten diesseits des atlantiks nehmen vor allem anstoß an der einschränkung der reisefreiheit und des datenschutzes, an eingriffen der usa in die politische kompetenzverteilung europas und an verzerrungen des wirtschaftlichen wettbewerbs mit und innerhalb der eu. zudem versucht die usa, kosten der nationalen sicherheitsmaßnahmen zum teil auf andere länder abzuwälzen, vor allem jene, die bei inspektionen in in- und ausländischen flug- und seehäfen anfallen. sobald bestimmte (markt-)mechanismen sich regulierend auf das politische system der usa auswirken, werden sich einige dieser probleme wieder entschärfen. wirtschaftliche erwägungen sowie datenschutzbedenken führen dazu, dass die geplanten oder schon eingeführten beschränkungen für studenten, geschäftsreisende und touristen überprüft werden. hingegen bleibt die entwicklung international gültiger sicherheits- und technologiestandards (unter anderem bei der erfassung biometrischer daten) nicht zuletzt wegen divergierender handels- und industriepolitischer interessen umstritten.' </w:t>
      </w:r>
    </w:p>
    <w:p w14:paraId="0A1F2E3E" w14:textId="77777777" w:rsidR="008B4508" w:rsidRDefault="008B4508">
      <w:pPr>
        <w:spacing w:line="158" w:lineRule="exact"/>
        <w:rPr>
          <w:sz w:val="24"/>
        </w:rPr>
      </w:pPr>
    </w:p>
    <w:p w14:paraId="693DC8AD" w14:textId="77777777" w:rsidR="008B4508" w:rsidRDefault="00E8606D">
      <w:pPr>
        <w:ind w:left="7860"/>
        <w:rPr>
          <w:sz w:val="20"/>
          <w:szCs w:val="20"/>
        </w:rPr>
      </w:pPr>
      <w:r>
        <w:rPr>
          <w:rFonts w:ascii="Garamond" w:eastAsia="Garamond" w:hAnsi="Garamond" w:cs="Garamond"/>
          <w:sz w:val="20"/>
          <w:szCs w:val="20"/>
        </w:rPr>
        <w:t xml:space="preserve">Bei </w:t>
      </w:r>
      <w:proofErr w:type="spellStart"/>
      <w:r>
        <w:rPr>
          <w:rFonts w:ascii="Garamond" w:eastAsia="Garamond" w:hAnsi="Garamond" w:cs="Garamond"/>
          <w:sz w:val="20"/>
          <w:szCs w:val="20"/>
        </w:rPr>
        <w:t>dem</w:t>
      </w:r>
      <w:proofErr w:type="spellEnd"/>
      <w:r>
        <w:rPr>
          <w:rFonts w:ascii="Garamond" w:eastAsia="Garamond" w:hAnsi="Garamond" w:cs="Garamond"/>
          <w:sz w:val="20"/>
          <w:szCs w:val="20"/>
        </w:rPr>
        <w:t xml:space="preserve"> Ansatz, den ich </w:t>
      </w:r>
      <w:proofErr w:type="spellStart"/>
      <w:r>
        <w:rPr>
          <w:rFonts w:ascii="Garamond" w:eastAsia="Garamond" w:hAnsi="Garamond" w:cs="Garamond"/>
          <w:sz w:val="20"/>
          <w:szCs w:val="20"/>
        </w:rPr>
        <w:t>im</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Folgenden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vorstellen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werde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geht</w:t>
      </w:r>
      <w:proofErr w:type="spellEnd"/>
      <w:r>
        <w:rPr>
          <w:rFonts w:ascii="Garamond" w:eastAsia="Garamond" w:hAnsi="Garamond" w:cs="Garamond"/>
          <w:sz w:val="20"/>
          <w:szCs w:val="20"/>
        </w:rPr>
        <w:t xml:space="preserve"> es um </w:t>
      </w: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derar</w:t>
      </w:r>
      <w:proofErr w:type="spellEnd"/>
      <w:r>
        <w:rPr>
          <w:rFonts w:ascii="Garamond" w:eastAsia="Garamond" w:hAnsi="Garamond" w:cs="Garamond"/>
          <w:sz w:val="20"/>
          <w:szCs w:val="20"/>
        </w:rPr>
        <w:t>-</w:t>
      </w:r>
    </w:p>
    <w:p w14:paraId="024891FB" w14:textId="77777777" w:rsidR="008B4508" w:rsidRDefault="008B4508">
      <w:pPr>
        <w:spacing w:line="26" w:lineRule="exact"/>
        <w:rPr>
          <w:sz w:val="24"/>
        </w:rPr>
      </w:pPr>
    </w:p>
    <w:p w14:paraId="35150AB3" w14:textId="77777777" w:rsidR="008B4508" w:rsidRDefault="00E8606D">
      <w:pPr>
        <w:ind w:left="7860"/>
        <w:rPr>
          <w:sz w:val="20"/>
          <w:szCs w:val="20"/>
        </w:rPr>
      </w:pPr>
      <w:proofErr w:type="spellStart"/>
      <w:r>
        <w:rPr>
          <w:rFonts w:ascii="Garamond" w:eastAsia="Garamond" w:hAnsi="Garamond" w:cs="Garamond"/>
          <w:sz w:val="21"/>
          <w:szCs w:val="21"/>
        </w:rPr>
        <w:t>tige</w:t>
      </w:r>
      <w:proofErr w:type="spellEnd"/>
      <w:r>
        <w:rPr>
          <w:rFonts w:ascii="Garamond" w:eastAsia="Garamond" w:hAnsi="Garamond" w:cs="Garamond"/>
          <w:sz w:val="21"/>
          <w:szCs w:val="21"/>
        </w:rPr>
        <w:t xml:space="preserve"> Transformation. </w:t>
      </w:r>
      <w:proofErr w:type="spellStart"/>
      <w:r>
        <w:rPr>
          <w:rFonts w:ascii="Garamond" w:eastAsia="Garamond" w:hAnsi="Garamond" w:cs="Garamond"/>
          <w:sz w:val="21"/>
          <w:szCs w:val="21"/>
        </w:rPr>
        <w:t>Im</w:t>
      </w:r>
      <w:proofErr w:type="spellEnd"/>
      <w:r>
        <w:rPr>
          <w:rFonts w:ascii="Garamond" w:eastAsia="Garamond" w:hAnsi="Garamond" w:cs="Garamond"/>
          <w:sz w:val="21"/>
          <w:szCs w:val="21"/>
        </w:rPr>
        <w:t xml:space="preserve"> Kern </w:t>
      </w:r>
      <w:proofErr w:type="spellStart"/>
      <w:r>
        <w:rPr>
          <w:rFonts w:ascii="Garamond" w:eastAsia="Garamond" w:hAnsi="Garamond" w:cs="Garamond"/>
          <w:sz w:val="21"/>
          <w:szCs w:val="21"/>
        </w:rPr>
        <w:t>geht</w:t>
      </w:r>
      <w:proofErr w:type="spellEnd"/>
      <w:r>
        <w:rPr>
          <w:rFonts w:ascii="Garamond" w:eastAsia="Garamond" w:hAnsi="Garamond" w:cs="Garamond"/>
          <w:sz w:val="21"/>
          <w:szCs w:val="21"/>
        </w:rPr>
        <w:t xml:space="preserve"> es </w:t>
      </w:r>
      <w:proofErr w:type="spellStart"/>
      <w:r>
        <w:rPr>
          <w:rFonts w:ascii="Garamond" w:eastAsia="Garamond" w:hAnsi="Garamond" w:cs="Garamond"/>
          <w:sz w:val="21"/>
          <w:szCs w:val="21"/>
        </w:rPr>
        <w:t>darum</w:t>
      </w:r>
      <w:proofErr w:type="spellEnd"/>
      <w:r>
        <w:rPr>
          <w:rFonts w:ascii="Garamond" w:eastAsia="Garamond" w:hAnsi="Garamond" w:cs="Garamond"/>
          <w:sz w:val="21"/>
          <w:szCs w:val="21"/>
        </w:rPr>
        <w:t xml:space="preserve">, in der </w:t>
      </w:r>
      <w:proofErr w:type="spellStart"/>
      <w:r>
        <w:rPr>
          <w:rFonts w:ascii="Garamond" w:eastAsia="Garamond" w:hAnsi="Garamond" w:cs="Garamond"/>
          <w:sz w:val="21"/>
          <w:szCs w:val="21"/>
        </w:rPr>
        <w:t>Auseinandersetzung</w:t>
      </w:r>
      <w:proofErr w:type="spellEnd"/>
      <w:r>
        <w:rPr>
          <w:rFonts w:ascii="Garamond" w:eastAsia="Garamond" w:hAnsi="Garamond" w:cs="Garamond"/>
          <w:sz w:val="21"/>
          <w:szCs w:val="21"/>
        </w:rPr>
        <w:t xml:space="preserve"> um</w:t>
      </w:r>
    </w:p>
    <w:p w14:paraId="03483792" w14:textId="77777777" w:rsidR="008B4508" w:rsidRDefault="008B4508">
      <w:pPr>
        <w:spacing w:line="35" w:lineRule="exact"/>
        <w:rPr>
          <w:sz w:val="24"/>
        </w:rPr>
      </w:pPr>
    </w:p>
    <w:p w14:paraId="04888B8C" w14:textId="77777777" w:rsidR="008B4508" w:rsidRDefault="00E8606D">
      <w:pPr>
        <w:ind w:left="7860"/>
        <w:rPr>
          <w:sz w:val="20"/>
          <w:szCs w:val="20"/>
        </w:rPr>
      </w:pP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w:t>
      </w:r>
      <w:proofErr w:type="spellEnd"/>
      <w:r>
        <w:rPr>
          <w:rFonts w:ascii="Garamond" w:eastAsia="Garamond" w:hAnsi="Garamond" w:cs="Garamond"/>
          <w:sz w:val="20"/>
          <w:szCs w:val="20"/>
        </w:rPr>
        <w:t xml:space="preserve"> Reform – den Kita-</w:t>
      </w:r>
      <w:proofErr w:type="spellStart"/>
      <w:r>
        <w:rPr>
          <w:rFonts w:ascii="Garamond" w:eastAsia="Garamond" w:hAnsi="Garamond" w:cs="Garamond"/>
          <w:sz w:val="20"/>
          <w:szCs w:val="20"/>
        </w:rPr>
        <w:t>Gutschein</w:t>
      </w:r>
      <w:proofErr w:type="spellEnd"/>
      <w:r>
        <w:rPr>
          <w:rFonts w:ascii="Garamond" w:eastAsia="Garamond" w:hAnsi="Garamond" w:cs="Garamond"/>
          <w:sz w:val="20"/>
          <w:szCs w:val="20"/>
        </w:rPr>
        <w:t xml:space="preserve"> – </w:t>
      </w:r>
      <w:proofErr w:type="spellStart"/>
      <w:r>
        <w:rPr>
          <w:rFonts w:ascii="Garamond" w:eastAsia="Garamond" w:hAnsi="Garamond" w:cs="Garamond"/>
          <w:sz w:val="20"/>
          <w:szCs w:val="20"/>
        </w:rPr>
        <w:t>nicht</w:t>
      </w:r>
      <w:proofErr w:type="spellEnd"/>
      <w:r>
        <w:rPr>
          <w:rFonts w:ascii="Garamond" w:eastAsia="Garamond" w:hAnsi="Garamond" w:cs="Garamond"/>
          <w:sz w:val="20"/>
          <w:szCs w:val="20"/>
        </w:rPr>
        <w:t xml:space="preserve"> das </w:t>
      </w:r>
      <w:proofErr w:type="spellStart"/>
      <w:r>
        <w:rPr>
          <w:rFonts w:ascii="Garamond" w:eastAsia="Garamond" w:hAnsi="Garamond" w:cs="Garamond"/>
          <w:sz w:val="20"/>
          <w:szCs w:val="20"/>
        </w:rPr>
        <w:t>alte</w:t>
      </w:r>
      <w:proofErr w:type="spellEnd"/>
      <w:r>
        <w:rPr>
          <w:rFonts w:ascii="Garamond" w:eastAsia="Garamond" w:hAnsi="Garamond" w:cs="Garamond"/>
          <w:sz w:val="20"/>
          <w:szCs w:val="20"/>
        </w:rPr>
        <w:t xml:space="preserve"> Kita-System </w:t>
      </w:r>
      <w:proofErr w:type="spellStart"/>
      <w:r>
        <w:rPr>
          <w:rFonts w:ascii="Garamond" w:eastAsia="Garamond" w:hAnsi="Garamond" w:cs="Garamond"/>
          <w:sz w:val="20"/>
          <w:szCs w:val="20"/>
        </w:rPr>
        <w:t>zu</w:t>
      </w:r>
      <w:proofErr w:type="spellEnd"/>
    </w:p>
    <w:p w14:paraId="055E337C" w14:textId="77777777" w:rsidR="008B4508" w:rsidRDefault="008B4508">
      <w:pPr>
        <w:spacing w:line="36" w:lineRule="exact"/>
        <w:rPr>
          <w:sz w:val="24"/>
        </w:rPr>
      </w:pPr>
    </w:p>
    <w:p w14:paraId="09E9DA4E" w14:textId="77777777" w:rsidR="008B4508" w:rsidRDefault="00E8606D">
      <w:pPr>
        <w:ind w:left="7860"/>
        <w:rPr>
          <w:sz w:val="20"/>
          <w:szCs w:val="20"/>
        </w:rPr>
      </w:pPr>
      <w:proofErr w:type="spellStart"/>
      <w:r>
        <w:rPr>
          <w:rFonts w:ascii="Garamond" w:eastAsia="Garamond" w:hAnsi="Garamond" w:cs="Garamond"/>
          <w:sz w:val="20"/>
          <w:szCs w:val="20"/>
        </w:rPr>
        <w:t>verteidigen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sondern</w:t>
      </w:r>
      <w:proofErr w:type="spellEnd"/>
      <w:r>
        <w:rPr>
          <w:rFonts w:ascii="Garamond" w:eastAsia="Garamond" w:hAnsi="Garamond" w:cs="Garamond"/>
          <w:sz w:val="20"/>
          <w:szCs w:val="20"/>
        </w:rPr>
        <w:t xml:space="preserve"> die </w:t>
      </w:r>
      <w:proofErr w:type="spellStart"/>
      <w:r>
        <w:rPr>
          <w:rFonts w:ascii="Garamond" w:eastAsia="Garamond" w:hAnsi="Garamond" w:cs="Garamond"/>
          <w:sz w:val="20"/>
          <w:szCs w:val="20"/>
        </w:rPr>
        <w:t>progressiven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Anteile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Grenzen</w:t>
      </w:r>
      <w:proofErr w:type="spellEnd"/>
      <w:r>
        <w:rPr>
          <w:rFonts w:ascii="Garamond" w:eastAsia="Garamond" w:hAnsi="Garamond" w:cs="Garamond"/>
          <w:sz w:val="20"/>
          <w:szCs w:val="20"/>
        </w:rPr>
        <w:t xml:space="preserve"> hi-</w:t>
      </w:r>
    </w:p>
    <w:p w14:paraId="6B68AABE" w14:textId="77777777" w:rsidR="008B4508" w:rsidRDefault="008B4508">
      <w:pPr>
        <w:spacing w:line="36" w:lineRule="exact"/>
        <w:rPr>
          <w:sz w:val="24"/>
        </w:rPr>
      </w:pPr>
    </w:p>
    <w:p w14:paraId="296B2E1B" w14:textId="77777777" w:rsidR="008B4508" w:rsidRPr="00197871" w:rsidRDefault="00E8606D">
      <w:pPr>
        <w:ind w:left="7860"/>
        <w:rPr>
          <w:rFonts w:ascii="Garamond" w:eastAsia="Garamond" w:hAnsi="Garamond" w:cs="Garamond"/>
          <w:sz w:val="20"/>
          <w:szCs w:val="20"/>
        </w:rPr>
      </w:pPr>
      <w:proofErr w:type="spellStart"/>
      <w:r>
        <w:rPr>
          <w:rFonts w:ascii="Garamond" w:eastAsia="Garamond" w:hAnsi="Garamond" w:cs="Garamond"/>
          <w:sz w:val="20"/>
          <w:szCs w:val="20"/>
        </w:rPr>
        <w:t>nauszutreiben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Wenn</w:t>
      </w:r>
      <w:proofErr w:type="spellEnd"/>
      <w:r>
        <w:rPr>
          <w:rFonts w:ascii="Garamond" w:eastAsia="Garamond" w:hAnsi="Garamond" w:cs="Garamond"/>
          <w:sz w:val="20"/>
          <w:szCs w:val="20"/>
        </w:rPr>
        <w:t xml:space="preserve"> die in </w:t>
      </w:r>
      <w:proofErr w:type="spellStart"/>
      <w:r>
        <w:rPr>
          <w:rFonts w:ascii="Garamond" w:eastAsia="Garamond" w:hAnsi="Garamond" w:cs="Garamond"/>
          <w:sz w:val="20"/>
          <w:szCs w:val="20"/>
        </w:rPr>
        <w:t>diesen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Auseinandersetzungen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beteiligten</w:t>
      </w:r>
      <w:proofErr w:type="spellEnd"/>
      <w:r>
        <w:rPr>
          <w:rFonts w:ascii="Garamond" w:eastAsia="Garamond" w:hAnsi="Garamond" w:cs="Garamond"/>
          <w:sz w:val="20"/>
          <w:szCs w:val="20"/>
        </w:rPr>
        <w:t xml:space="preserve"> Menschen</w:t>
      </w:r>
    </w:p>
    <w:p w14:paraId="0FD48C84" w14:textId="77777777" w:rsidR="008B4508" w:rsidRPr="00197871" w:rsidRDefault="008B4508">
      <w:pPr>
        <w:spacing w:line="36" w:lineRule="exact"/>
        <w:rPr>
          <w:rFonts w:ascii="Garamond" w:eastAsia="Garamond" w:hAnsi="Garamond" w:cs="Garamond"/>
          <w:sz w:val="20"/>
          <w:szCs w:val="20"/>
        </w:rPr>
      </w:pPr>
    </w:p>
    <w:p w14:paraId="3688ACE2" w14:textId="49053927" w:rsidR="008B4508" w:rsidRPr="00197871" w:rsidRDefault="00E8606D" w:rsidP="00197871">
      <w:pPr>
        <w:ind w:left="7860"/>
        <w:rPr>
          <w:rFonts w:ascii="Garamond" w:eastAsia="Garamond" w:hAnsi="Garamond" w:cs="Garamond"/>
          <w:sz w:val="20"/>
          <w:szCs w:val="20"/>
        </w:rPr>
      </w:pPr>
      <w:proofErr w:type="spellStart"/>
      <w:r>
        <w:rPr>
          <w:rFonts w:ascii="Garamond" w:eastAsia="Garamond" w:hAnsi="Garamond" w:cs="Garamond"/>
          <w:sz w:val="20"/>
          <w:szCs w:val="20"/>
        </w:rPr>
        <w:t>diese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als</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überwindbar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erleben</w:t>
      </w:r>
      <w:proofErr w:type="spellEnd"/>
      <w:r>
        <w:rPr>
          <w:rFonts w:ascii="Garamond" w:eastAsia="Garamond" w:hAnsi="Garamond" w:cs="Garamond"/>
          <w:sz w:val="20"/>
          <w:szCs w:val="20"/>
        </w:rPr>
        <w:t>, „</w:t>
      </w:r>
      <w:proofErr w:type="spellStart"/>
      <w:r>
        <w:rPr>
          <w:rFonts w:ascii="Garamond" w:eastAsia="Garamond" w:hAnsi="Garamond" w:cs="Garamond"/>
          <w:sz w:val="20"/>
          <w:szCs w:val="20"/>
        </w:rPr>
        <w:t>dann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beginnen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sie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zunehmend</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kri-</w:t>
      </w:r>
      <w:r w:rsidR="00197871" w:rsidRPr="00197871">
        <w:rPr>
          <w:rFonts w:ascii="Garamond" w:eastAsia="Garamond" w:hAnsi="Garamond" w:cs="Garamond"/>
          <w:sz w:val="20"/>
          <w:szCs w:val="20"/>
        </w:rPr>
        <w:t>tischeren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darauf</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abzustellen</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unerprobten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Möglichkeit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mit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Begreifen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verbunden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ist</w:t>
      </w:r>
      <w:proofErr w:type="spellEnd"/>
      <w:r w:rsidR="00197871" w:rsidRPr="00197871">
        <w:rPr>
          <w:rFonts w:ascii="Garamond" w:eastAsia="Garamond" w:hAnsi="Garamond" w:cs="Garamond"/>
          <w:sz w:val="20"/>
          <w:szCs w:val="20"/>
        </w:rPr>
        <w:t xml:space="preserve">, in die Tat </w:t>
      </w:r>
      <w:proofErr w:type="spellStart"/>
      <w:proofErr w:type="gramStart"/>
      <w:r w:rsidR="00197871" w:rsidRPr="00197871">
        <w:rPr>
          <w:rFonts w:ascii="Garamond" w:eastAsia="Garamond" w:hAnsi="Garamond" w:cs="Garamond"/>
          <w:sz w:val="20"/>
          <w:szCs w:val="20"/>
        </w:rPr>
        <w:t>umzusetzen</w:t>
      </w:r>
      <w:proofErr w:type="spellEnd"/>
      <w:r w:rsidR="00197871" w:rsidRPr="00197871">
        <w:rPr>
          <w:rFonts w:ascii="Garamond" w:eastAsia="Garamond" w:hAnsi="Garamond" w:cs="Garamond"/>
          <w:sz w:val="20"/>
          <w:szCs w:val="20"/>
        </w:rPr>
        <w:t>“ (</w:t>
      </w:r>
      <w:proofErr w:type="gramEnd"/>
      <w:r w:rsidR="00197871" w:rsidRPr="00197871">
        <w:rPr>
          <w:rFonts w:ascii="Garamond" w:eastAsia="Garamond" w:hAnsi="Garamond" w:cs="Garamond"/>
          <w:sz w:val="20"/>
          <w:szCs w:val="20"/>
        </w:rPr>
        <w:t>Freire 1973: 85). Das Kita-</w:t>
      </w:r>
      <w:proofErr w:type="spellStart"/>
      <w:r w:rsidR="00197871" w:rsidRPr="00197871">
        <w:rPr>
          <w:rFonts w:ascii="Garamond" w:eastAsia="Garamond" w:hAnsi="Garamond" w:cs="Garamond"/>
          <w:sz w:val="20"/>
          <w:szCs w:val="20"/>
        </w:rPr>
        <w:t>Gutscheinsystem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Anfang</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letzten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Jahrzehnts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SPDSenat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„Kita Cart-</w:t>
      </w:r>
      <w:proofErr w:type="gramStart"/>
      <w:r w:rsidR="00197871" w:rsidRPr="00197871">
        <w:rPr>
          <w:rFonts w:ascii="Garamond" w:eastAsia="Garamond" w:hAnsi="Garamond" w:cs="Garamond"/>
          <w:sz w:val="20"/>
          <w:szCs w:val="20"/>
        </w:rPr>
        <w:t xml:space="preserve">System“ </w:t>
      </w:r>
      <w:proofErr w:type="spellStart"/>
      <w:r w:rsidR="00197871" w:rsidRPr="00197871">
        <w:rPr>
          <w:rFonts w:ascii="Garamond" w:eastAsia="Garamond" w:hAnsi="Garamond" w:cs="Garamond"/>
          <w:sz w:val="20"/>
          <w:szCs w:val="20"/>
        </w:rPr>
        <w:t>entwickelt</w:t>
      </w:r>
      <w:proofErr w:type="spellEnd"/>
      <w:proofErr w:type="gramEnd"/>
      <w:r w:rsidR="00197871" w:rsidRPr="00197871">
        <w:rPr>
          <w:rFonts w:ascii="Garamond" w:eastAsia="Garamond" w:hAnsi="Garamond" w:cs="Garamond"/>
          <w:sz w:val="20"/>
          <w:szCs w:val="20"/>
        </w:rPr>
        <w:t xml:space="preserve"> und 2003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CDU-</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in die Praxis </w:t>
      </w:r>
      <w:proofErr w:type="spellStart"/>
      <w:r w:rsidR="00197871" w:rsidRPr="00197871">
        <w:rPr>
          <w:rFonts w:ascii="Garamond" w:eastAsia="Garamond" w:hAnsi="Garamond" w:cs="Garamond"/>
          <w:sz w:val="20"/>
          <w:szCs w:val="20"/>
        </w:rPr>
        <w:t>umgesetzt</w:t>
      </w:r>
      <w:proofErr w:type="spellEnd"/>
      <w:r w:rsidR="00197871" w:rsidRPr="00197871">
        <w:rPr>
          <w:rFonts w:ascii="Garamond" w:eastAsia="Garamond" w:hAnsi="Garamond" w:cs="Garamond"/>
          <w:sz w:val="20"/>
          <w:szCs w:val="20"/>
        </w:rPr>
        <w:t xml:space="preserve">. Es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vielen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Perspektiven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Sicht</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politischen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Verantwortlichen</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Bürgerschat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sieht</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ganze</w:t>
      </w:r>
      <w:proofErr w:type="spellEnd"/>
      <w:r w:rsidR="00197871" w:rsidRPr="00197871">
        <w:rPr>
          <w:rFonts w:ascii="Garamond" w:eastAsia="Garamond" w:hAnsi="Garamond" w:cs="Garamond"/>
          <w:sz w:val="20"/>
          <w:szCs w:val="20"/>
        </w:rPr>
        <w:t xml:space="preserve"> System </w:t>
      </w:r>
      <w:proofErr w:type="spellStart"/>
      <w:r w:rsidR="00197871" w:rsidRPr="00197871">
        <w:rPr>
          <w:rFonts w:ascii="Garamond" w:eastAsia="Garamond" w:hAnsi="Garamond" w:cs="Garamond"/>
          <w:sz w:val="20"/>
          <w:szCs w:val="20"/>
        </w:rPr>
        <w:t>natürlich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anders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Perspektive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arbeitslosen</w:t>
      </w:r>
      <w:proofErr w:type="spellEnd"/>
      <w:r w:rsidR="00197871" w:rsidRPr="00197871">
        <w:rPr>
          <w:rFonts w:ascii="Garamond" w:eastAsia="Garamond" w:hAnsi="Garamond" w:cs="Garamond"/>
          <w:sz w:val="20"/>
          <w:szCs w:val="20"/>
        </w:rPr>
        <w:t xml:space="preserve"> Mutter, die </w:t>
      </w:r>
      <w:proofErr w:type="spellStart"/>
      <w:r w:rsidR="00197871" w:rsidRPr="00197871">
        <w:rPr>
          <w:rFonts w:ascii="Garamond" w:eastAsia="Garamond" w:hAnsi="Garamond" w:cs="Garamond"/>
          <w:sz w:val="20"/>
          <w:szCs w:val="20"/>
        </w:rPr>
        <w:t>gerade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gezwungen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ihren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Kitaplatz</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aufzugeben</w:t>
      </w:r>
      <w:proofErr w:type="spellEnd"/>
      <w:r w:rsidR="00197871" w:rsidRPr="00197871">
        <w:rPr>
          <w:rFonts w:ascii="Garamond" w:eastAsia="Garamond" w:hAnsi="Garamond" w:cs="Garamond"/>
          <w:sz w:val="20"/>
          <w:szCs w:val="20"/>
        </w:rPr>
        <w:t xml:space="preserve">, da </w:t>
      </w:r>
      <w:proofErr w:type="spellStart"/>
      <w:r w:rsidR="00197871" w:rsidRPr="00197871">
        <w:rPr>
          <w:rFonts w:ascii="Garamond" w:eastAsia="Garamond" w:hAnsi="Garamond" w:cs="Garamond"/>
          <w:sz w:val="20"/>
          <w:szCs w:val="20"/>
        </w:rPr>
        <w:t>sie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w:t>
      </w:r>
      <w:proofErr w:type="spellEnd"/>
      <w:r w:rsidR="00197871" w:rsidRPr="00197871">
        <w:rPr>
          <w:rFonts w:ascii="Garamond" w:eastAsia="Garamond" w:hAnsi="Garamond" w:cs="Garamond"/>
          <w:sz w:val="20"/>
          <w:szCs w:val="20"/>
        </w:rPr>
        <w:t xml:space="preserve"> nun </w:t>
      </w:r>
      <w:proofErr w:type="spellStart"/>
      <w:r w:rsidR="00197871" w:rsidRPr="00197871">
        <w:rPr>
          <w:rFonts w:ascii="Garamond" w:eastAsia="Garamond" w:hAnsi="Garamond" w:cs="Garamond"/>
          <w:sz w:val="20"/>
          <w:szCs w:val="20"/>
        </w:rPr>
        <w:t>zuhause</w:t>
      </w:r>
      <w:proofErr w:type="spellEnd"/>
      <w:r w:rsidR="00197871" w:rsidRPr="00197871">
        <w:rPr>
          <w:rFonts w:ascii="Garamond" w:eastAsia="Garamond" w:hAnsi="Garamond" w:cs="Garamond"/>
          <w:sz w:val="20"/>
          <w:szCs w:val="20"/>
        </w:rPr>
        <w:t xml:space="preserve"> sei und </w:t>
      </w:r>
      <w:proofErr w:type="spellStart"/>
      <w:r w:rsidR="00197871" w:rsidRPr="00197871">
        <w:rPr>
          <w:rFonts w:ascii="Garamond" w:eastAsia="Garamond" w:hAnsi="Garamond" w:cs="Garamond"/>
          <w:sz w:val="20"/>
          <w:szCs w:val="20"/>
        </w:rPr>
        <w:t>ihre</w:t>
      </w:r>
      <w:proofErr w:type="spellEnd"/>
      <w:r w:rsidR="00197871" w:rsidRPr="00197871">
        <w:rPr>
          <w:rFonts w:ascii="Garamond" w:eastAsia="Garamond" w:hAnsi="Garamond" w:cs="Garamond"/>
          <w:sz w:val="20"/>
          <w:szCs w:val="20"/>
        </w:rPr>
        <w:t xml:space="preserve"> Kinder </w:t>
      </w:r>
      <w:proofErr w:type="spellStart"/>
      <w:r w:rsidR="00197871" w:rsidRPr="00197871">
        <w:rPr>
          <w:rFonts w:ascii="Garamond" w:eastAsia="Garamond" w:hAnsi="Garamond" w:cs="Garamond"/>
          <w:sz w:val="20"/>
          <w:szCs w:val="20"/>
        </w:rPr>
        <w:t>selbst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betreuen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könne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Deshalb</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scheint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mir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Zugang</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sinnvollste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sein, der das </w:t>
      </w:r>
      <w:proofErr w:type="spellStart"/>
      <w:r w:rsidR="00197871" w:rsidRPr="00197871">
        <w:rPr>
          <w:rFonts w:ascii="Garamond" w:eastAsia="Garamond" w:hAnsi="Garamond" w:cs="Garamond"/>
          <w:sz w:val="20"/>
          <w:szCs w:val="20"/>
        </w:rPr>
        <w:t>gesamte</w:t>
      </w:r>
      <w:proofErr w:type="spellEnd"/>
      <w:r w:rsidR="00197871" w:rsidRPr="00197871">
        <w:rPr>
          <w:rFonts w:ascii="Garamond" w:eastAsia="Garamond" w:hAnsi="Garamond" w:cs="Garamond"/>
          <w:sz w:val="20"/>
          <w:szCs w:val="20"/>
        </w:rPr>
        <w:t xml:space="preserve"> System und seine </w:t>
      </w:r>
      <w:proofErr w:type="spellStart"/>
      <w:r w:rsidR="00197871" w:rsidRPr="00197871">
        <w:rPr>
          <w:rFonts w:ascii="Garamond" w:eastAsia="Garamond" w:hAnsi="Garamond" w:cs="Garamond"/>
          <w:sz w:val="20"/>
          <w:szCs w:val="20"/>
        </w:rPr>
        <w:t>Kontexte</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seinen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wechselseitigen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Abhängigkeiten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bewertet</w:t>
      </w:r>
      <w:proofErr w:type="spellEnd"/>
      <w:r w:rsidR="00197871" w:rsidRPr="00197871">
        <w:rPr>
          <w:rFonts w:ascii="Garamond" w:eastAsia="Garamond" w:hAnsi="Garamond" w:cs="Garamond"/>
          <w:sz w:val="20"/>
          <w:szCs w:val="20"/>
        </w:rPr>
        <w:t xml:space="preserve">. So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Dreiecksverhältnis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zwischen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Jugendamt</w:t>
      </w:r>
      <w:proofErr w:type="spellEnd"/>
      <w:r w:rsidR="00197871" w:rsidRPr="00197871">
        <w:rPr>
          <w:rFonts w:ascii="Garamond" w:eastAsia="Garamond" w:hAnsi="Garamond" w:cs="Garamond"/>
          <w:sz w:val="20"/>
          <w:szCs w:val="20"/>
        </w:rPr>
        <w:t>“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Kürzel</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für</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politische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ökonomische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fachliche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Normensetzung</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Normendurchsetzung</w:t>
      </w:r>
      <w:proofErr w:type="spellEnd"/>
      <w:r w:rsidR="00197871" w:rsidRPr="00197871">
        <w:rPr>
          <w:rFonts w:ascii="Garamond" w:eastAsia="Garamond" w:hAnsi="Garamond" w:cs="Garamond"/>
          <w:sz w:val="20"/>
          <w:szCs w:val="20"/>
        </w:rPr>
        <w:t>), den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(den </w:t>
      </w:r>
      <w:proofErr w:type="spellStart"/>
      <w:r w:rsidR="00197871" w:rsidRPr="00197871">
        <w:rPr>
          <w:rFonts w:ascii="Garamond" w:eastAsia="Garamond" w:hAnsi="Garamond" w:cs="Garamond"/>
          <w:sz w:val="20"/>
          <w:szCs w:val="20"/>
        </w:rPr>
        <w:t>freien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kirchlichen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Kitas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sowie</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Vereinigung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dem</w:t>
      </w:r>
      <w:proofErr w:type="spellEnd"/>
      <w:r w:rsidR="00197871" w:rsidRPr="00197871">
        <w:rPr>
          <w:rFonts w:ascii="Garamond" w:eastAsia="Garamond" w:hAnsi="Garamond" w:cs="Garamond"/>
          <w:sz w:val="20"/>
          <w:szCs w:val="20"/>
        </w:rPr>
        <w:t xml:space="preserve"> quasi </w:t>
      </w:r>
      <w:proofErr w:type="spellStart"/>
      <w:r w:rsidR="00197871" w:rsidRPr="00197871">
        <w:rPr>
          <w:rFonts w:ascii="Garamond" w:eastAsia="Garamond" w:hAnsi="Garamond" w:cs="Garamond"/>
          <w:sz w:val="20"/>
          <w:szCs w:val="20"/>
        </w:rPr>
        <w:t>kommunalen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w:t>
      </w:r>
      <w:proofErr w:type="spellEnd"/>
      <w:r w:rsidR="00197871" w:rsidRPr="00197871">
        <w:rPr>
          <w:rFonts w:ascii="Garamond" w:eastAsia="Garamond" w:hAnsi="Garamond" w:cs="Garamond"/>
          <w:sz w:val="20"/>
          <w:szCs w:val="20"/>
        </w:rPr>
        <w:t xml:space="preserve"> in Hamburg) und den ca. 70000 Kinder und </w:t>
      </w:r>
      <w:proofErr w:type="spellStart"/>
      <w:r w:rsidR="00197871" w:rsidRPr="00197871">
        <w:rPr>
          <w:rFonts w:ascii="Garamond" w:eastAsia="Garamond" w:hAnsi="Garamond" w:cs="Garamond"/>
          <w:sz w:val="20"/>
          <w:szCs w:val="20"/>
        </w:rPr>
        <w:t>deren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Eltern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w:t>
      </w:r>
      <w:proofErr w:type="spellEnd"/>
      <w:r w:rsidR="00197871" w:rsidRPr="00197871">
        <w:rPr>
          <w:rFonts w:ascii="Garamond" w:eastAsia="Garamond" w:hAnsi="Garamond" w:cs="Garamond"/>
          <w:sz w:val="20"/>
          <w:szCs w:val="20"/>
        </w:rPr>
        <w:t xml:space="preserve"> Arena verstehen, in der die </w:t>
      </w:r>
      <w:proofErr w:type="spellStart"/>
      <w:r w:rsidR="00197871" w:rsidRPr="00197871">
        <w:rPr>
          <w:rFonts w:ascii="Garamond" w:eastAsia="Garamond" w:hAnsi="Garamond" w:cs="Garamond"/>
          <w:sz w:val="20"/>
          <w:szCs w:val="20"/>
        </w:rPr>
        <w:t>strategischen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Orientierungen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taktischen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Finessen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drei</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Akteursgruppen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aufeinandertrefen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Dass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nicht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jeder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Akteure</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gleichen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Chancen</w:t>
      </w:r>
      <w:proofErr w:type="spellEnd"/>
      <w:r w:rsidR="00197871" w:rsidRPr="00197871">
        <w:rPr>
          <w:rFonts w:ascii="Garamond" w:eastAsia="Garamond" w:hAnsi="Garamond" w:cs="Garamond"/>
          <w:sz w:val="20"/>
          <w:szCs w:val="20"/>
        </w:rPr>
        <w:t xml:space="preserve"> hat, seine Position </w:t>
      </w:r>
      <w:proofErr w:type="spellStart"/>
      <w:r w:rsidR="00197871" w:rsidRPr="00197871">
        <w:rPr>
          <w:rFonts w:ascii="Garamond" w:eastAsia="Garamond" w:hAnsi="Garamond" w:cs="Garamond"/>
          <w:sz w:val="20"/>
          <w:szCs w:val="20"/>
        </w:rPr>
        <w:t>zur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Geltung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bringen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geschweige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denn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durchzusetzen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rechtfertigt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Kennzeichnung</w:t>
      </w:r>
      <w:proofErr w:type="spellEnd"/>
      <w:r w:rsidR="00197871" w:rsidRPr="00197871">
        <w:rPr>
          <w:rFonts w:ascii="Garamond" w:eastAsia="Garamond" w:hAnsi="Garamond" w:cs="Garamond"/>
          <w:sz w:val="20"/>
          <w:szCs w:val="20"/>
        </w:rPr>
        <w:t xml:space="preserve"> dieses </w:t>
      </w:r>
      <w:proofErr w:type="spellStart"/>
      <w:r w:rsidR="00197871" w:rsidRPr="00197871">
        <w:rPr>
          <w:rFonts w:ascii="Garamond" w:eastAsia="Garamond" w:hAnsi="Garamond" w:cs="Garamond"/>
          <w:sz w:val="20"/>
          <w:szCs w:val="20"/>
        </w:rPr>
        <w:t>Machtdreiecks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Herrschatsstruktur</w:t>
      </w:r>
      <w:proofErr w:type="spellEnd"/>
      <w:r w:rsidR="00197871" w:rsidRPr="00197871">
        <w:rPr>
          <w:rFonts w:ascii="Garamond" w:eastAsia="Garamond" w:hAnsi="Garamond" w:cs="Garamond"/>
          <w:sz w:val="20"/>
          <w:szCs w:val="20"/>
        </w:rPr>
        <w:t xml:space="preserve"> – </w:t>
      </w:r>
      <w:proofErr w:type="spellStart"/>
      <w:r w:rsidR="00197871" w:rsidRPr="00197871">
        <w:rPr>
          <w:rFonts w:ascii="Garamond" w:eastAsia="Garamond" w:hAnsi="Garamond" w:cs="Garamond"/>
          <w:sz w:val="20"/>
          <w:szCs w:val="20"/>
        </w:rPr>
        <w:t>Herrschat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verstanden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legitime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auch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legalisierte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Macht</w:t>
      </w:r>
      <w:proofErr w:type="spellEnd"/>
      <w:r w:rsidR="00197871" w:rsidRPr="00197871">
        <w:rPr>
          <w:rFonts w:ascii="Garamond" w:eastAsia="Garamond" w:hAnsi="Garamond" w:cs="Garamond"/>
          <w:sz w:val="20"/>
          <w:szCs w:val="20"/>
        </w:rPr>
        <w:t xml:space="preserve">, in der die </w:t>
      </w:r>
      <w:proofErr w:type="spellStart"/>
      <w:r w:rsidR="00197871" w:rsidRPr="00197871">
        <w:rPr>
          <w:rFonts w:ascii="Garamond" w:eastAsia="Garamond" w:hAnsi="Garamond" w:cs="Garamond"/>
          <w:sz w:val="20"/>
          <w:szCs w:val="20"/>
        </w:rPr>
        <w:t>jeweiligen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Herrschatsfunktionen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eindeutig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zugunsten</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dominierenden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ausfallen</w:t>
      </w:r>
      <w:proofErr w:type="spellEnd"/>
      <w:r w:rsidR="00197871" w:rsidRPr="00197871">
        <w:rPr>
          <w:rFonts w:ascii="Garamond" w:eastAsia="Garamond" w:hAnsi="Garamond" w:cs="Garamond"/>
          <w:sz w:val="20"/>
          <w:szCs w:val="20"/>
        </w:rPr>
        <w:t xml:space="preserve"> – und in der </w:t>
      </w:r>
      <w:proofErr w:type="spellStart"/>
      <w:r w:rsidR="00197871" w:rsidRPr="00197871">
        <w:rPr>
          <w:rFonts w:ascii="Garamond" w:eastAsia="Garamond" w:hAnsi="Garamond" w:cs="Garamond"/>
          <w:sz w:val="20"/>
          <w:szCs w:val="20"/>
        </w:rPr>
        <w:t>bürgerlichen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Gesellschat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dominiert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immer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w:t>
      </w:r>
      <w:proofErr w:type="spellEnd"/>
      <w:r w:rsidR="00197871" w:rsidRPr="00197871">
        <w:rPr>
          <w:rFonts w:ascii="Garamond" w:eastAsia="Garamond" w:hAnsi="Garamond" w:cs="Garamond"/>
          <w:sz w:val="20"/>
          <w:szCs w:val="20"/>
        </w:rPr>
        <w:t xml:space="preserve">, der </w:t>
      </w:r>
    </w:p>
    <w:sectPr w:rsidR="008B4508" w:rsidRPr="00197871" w:rsidSect="00507D35">
      <w:headerReference w:type="even" r:id="rId7"/>
      <w:headerReference w:type="default" r:id="rId8"/>
      <w:footerReference w:type="even" r:id="rId9"/>
      <w:footerReference w:type="default" r:id="rId10"/>
      <w:headerReference w:type="first" r:id="rId11"/>
      <w:footerReference w:type="first" r:id="rId12"/>
      <w:pgSz w:w="16780" w:h="11906" w:orient="landscape" w:code="9"/>
      <w:pgMar w:top="1440" w:right="1181" w:bottom="226" w:left="1440" w:header="0" w:footer="680" w:gutter="0"/>
      <w:cols w:space="720" w:equalWidth="0">
        <w:col w:w="141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9E7D" w14:textId="77777777" w:rsidR="003A3D3C" w:rsidRDefault="003A3D3C" w:rsidP="00197871">
      <w:r>
        <w:separator/>
      </w:r>
    </w:p>
  </w:endnote>
  <w:endnote w:type="continuationSeparator" w:id="0">
    <w:p w14:paraId="27A224BE" w14:textId="77777777" w:rsidR="003A3D3C" w:rsidRDefault="003A3D3C" w:rsidP="0019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1F4D" w14:textId="77777777" w:rsidR="00E326AD" w:rsidRDefault="00E32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4E9E" w14:textId="77777777" w:rsidR="00091917" w:rsidRDefault="00091917" w:rsidP="008602DF">
    <w:pPr>
      <w:pStyle w:val="Footer"/>
      <w:ind w:left="7938"/>
      <w:rPr>
        <w:szCs w:val="12"/>
      </w:rPr>
    </w:pPr>
  </w:p>
  <w:p w14:paraId="5704D130" w14:textId="3B5C5CFE" w:rsidR="00197871" w:rsidRPr="009C7608" w:rsidRDefault="00197871" w:rsidP="008602DF">
    <w:pPr>
      <w:pStyle w:val="Footer"/>
      <w:ind w:left="7938"/>
      <w:rPr>
        <w:szCs w:val="12"/>
        <w:lang w:val="de-DE"/>
      </w:rPr>
    </w:pPr>
    <w:r>
      <w:t>Widersprüche. ZUMA Nachrichten, Heft 123, 32. Jg. 2005, Nr. 1, 57 – 66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B7D" w14:textId="77777777" w:rsidR="00E326AD" w:rsidRDefault="00E32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37BD7" w14:textId="77777777" w:rsidR="003A3D3C" w:rsidRDefault="003A3D3C" w:rsidP="00197871">
      <w:r>
        <w:separator/>
      </w:r>
    </w:p>
  </w:footnote>
  <w:footnote w:type="continuationSeparator" w:id="0">
    <w:p w14:paraId="68697972" w14:textId="77777777" w:rsidR="003A3D3C" w:rsidRDefault="003A3D3C" w:rsidP="0019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CDFA" w14:textId="77777777" w:rsidR="00E326AD" w:rsidRDefault="00E32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0822" w14:textId="77777777" w:rsidR="00E326AD" w:rsidRDefault="00E32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DE42" w14:textId="77777777" w:rsidR="00E326AD" w:rsidRDefault="00E326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508"/>
    <w:rsid w:val="00091917"/>
    <w:rsid w:val="001148AE"/>
    <w:rsid w:val="00197871"/>
    <w:rsid w:val="001A0A82"/>
    <w:rsid w:val="00305E87"/>
    <w:rsid w:val="0038499C"/>
    <w:rsid w:val="003A3D3C"/>
    <w:rsid w:val="004440C5"/>
    <w:rsid w:val="00507D35"/>
    <w:rsid w:val="00610762"/>
    <w:rsid w:val="00657DCC"/>
    <w:rsid w:val="008602DF"/>
    <w:rsid w:val="008B4508"/>
    <w:rsid w:val="009C7608"/>
    <w:rsid w:val="00A172B3"/>
    <w:rsid w:val="00AC2152"/>
    <w:rsid w:val="00B7377D"/>
    <w:rsid w:val="00D61329"/>
    <w:rsid w:val="00D64A1A"/>
    <w:rsid w:val="00E326AD"/>
    <w:rsid w:val="00E8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B9A1"/>
  <w15:docId w15:val="{8CAB3713-F0C5-44B4-867E-DCE6CD04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12"/>
        <w:szCs w:val="24"/>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71"/>
    <w:pPr>
      <w:tabs>
        <w:tab w:val="center" w:pos="4536"/>
        <w:tab w:val="right" w:pos="9072"/>
      </w:tabs>
    </w:pPr>
  </w:style>
  <w:style w:type="character" w:customStyle="1" w:styleId="HeaderChar">
    <w:name w:val="Header Char"/>
    <w:basedOn w:val="DefaultParagraphFont"/>
    <w:link w:val="Header"/>
    <w:uiPriority w:val="99"/>
    <w:rsid w:val="00197871"/>
  </w:style>
  <w:style w:type="paragraph" w:styleId="Footer">
    <w:name w:val="footer"/>
    <w:basedOn w:val="Normal"/>
    <w:link w:val="FooterChar"/>
    <w:uiPriority w:val="99"/>
    <w:unhideWhenUsed/>
    <w:rsid w:val="00197871"/>
    <w:pPr>
      <w:tabs>
        <w:tab w:val="center" w:pos="4536"/>
        <w:tab w:val="right" w:pos="9072"/>
      </w:tabs>
    </w:pPr>
  </w:style>
  <w:style w:type="character" w:customStyle="1" w:styleId="FooterChar">
    <w:name w:val="Footer Char"/>
    <w:basedOn w:val="DefaultParagraphFont"/>
    <w:link w:val="Footer"/>
    <w:uiPriority w:val="99"/>
    <w:rsid w:val="00197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2020-07-09T16:37:00Z</dcterms:created>
  <dcterms:modified xsi:type="dcterms:W3CDTF">2020-07-22T13:37:00Z</dcterms:modified>
</cp:coreProperties>
</file>