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Hochschule Geisenheim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Zeitschrift für Berufs- und Wirtschaftspädagogik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Calculation of account reachability risk for users having multiple SNS accounts from users profile and regional information.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Ayano Yoshikuni, Chiemi Watanabe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2000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