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Michael Mulholland, Andrew Purdon, M. Abderrazak Latifi, Christopher Brouckaert, Christopher Buckley</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Leak identification in a water distribution network using sparse flow measurements.</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6/1990</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'in den letzten jahren haben sich im bereich der familienformen und haushaltstypen wichtige veränderungen ergeben. deutlich zugenommen hat die zahl der einpersonenhaushalte. gestiegen ist auch die bedeutung unkonventioneller lebensformen, wie wohngemeinschaften und das zusammenleben unverheirateter paare. sexualität und partnerschaft außerhalb von ehe und familie werden zunehmend toleriert. zwischen dem jugendalter und dem erwachsensein hat sich eine eigenständige übergangsphase der 'post-adoleszenz' herausgebildet. sie reicht von der juristischen volljährigkeit bis zur beruflichen und familiären etablierung. im zuge der ausbreitung 'postadoleszenter lebensformen' dürfte die bereitschaft der eltern zugenommen haben, ihre kinder außerhalb des eigenen haushalts materiell zu unterstützen und ihnen eine eigenständige lebensform zu ermöglichen. in verbindung mit der herabsetzung des volljährigkeitsalters ist es jungen frauen und männern heute früher möglich, sich zu entscheiden, wann sie den elterlichen haushalt verlassen wollen.'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