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Julius Zilinskas, Ian David Lockhart Bogle</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Balanced random interval arithmetic.</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6/1991</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 xml:space="preserve">'die ehemalige ddr unterscheidet sich von der 'alten' bundesrepublik unter wohlfahrtsrelevanten gesichtspunkten immer noch ganz beträchtlich: nicht nur hinsichtlich der objektiven lebensbedingungen, sondern auch in den ansprüchen, orientierungen und bewertungen der betroffenen. gerade im hinblick auf die politische zielsetzung, gleiche lebensverhältnisse in ost und west zu schaffen, kommen deshalb informationen über die ansprüche der früheren ddr-bürger, ihren subjektiven bewertungen der gegebenen lebensverhältnisse sowie deren veränderungen seit schaffung der währungs-, wirtschafts- und sozialunion eine hohe bedeutung zu.' </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