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2" w:lineRule="exact"/>
        <w:rPr>
          <w:sz w:val="24"/>
          <w:szCs w:val="24"/>
          <w:color w:val="auto"/>
        </w:rPr>
      </w:pPr>
    </w:p>
    <w:p>
      <w:pPr>
        <w:jc w:val="right"/>
        <w:ind w:right="120"/>
        <w:spacing w:after="0"/>
        <w:rPr>
          <w:sz w:val="20"/>
          <w:szCs w:val="20"/>
          <w:color w:val="auto"/>
        </w:rPr>
      </w:pPr>
      <w:r>
        <w:rPr>
          <w:rFonts w:ascii="Arial" w:cs="Arial" w:eastAsia="Arial" w:hAnsi="Arial"/>
          <w:sz w:val="36"/>
          <w:szCs w:val="36"/>
          <w:b w:val="1"/>
          <w:bCs w:val="1"/>
          <w:color w:val="auto"/>
        </w:rPr>
        <w:t>SISS:</w:t>
      </w:r>
    </w:p>
    <w:p>
      <w:pPr>
        <w:spacing w:after="0" w:line="333" w:lineRule="exact"/>
        <w:rPr>
          <w:sz w:val="24"/>
          <w:szCs w:val="24"/>
          <w:color w:val="auto"/>
        </w:rPr>
      </w:pPr>
    </w:p>
    <w:p>
      <w:pPr>
        <w:ind w:left="7020"/>
        <w:spacing w:after="0"/>
        <w:rPr>
          <w:sz w:val="20"/>
          <w:szCs w:val="20"/>
          <w:color w:val="auto"/>
        </w:rPr>
      </w:pPr>
      <w:r>
        <w:rPr>
          <w:rFonts w:ascii="Arial" w:cs="Arial" w:eastAsia="Arial" w:hAnsi="Arial"/>
          <w:sz w:val="28"/>
          <w:szCs w:val="28"/>
          <w:b w:val="1"/>
          <w:bCs w:val="1"/>
          <w:color w:val="auto"/>
        </w:rPr>
        <w:t>Schriftenreihe</w:t>
      </w:r>
    </w:p>
    <w:p>
      <w:pPr>
        <w:spacing w:after="0" w:line="340" w:lineRule="exact"/>
        <w:rPr>
          <w:sz w:val="24"/>
          <w:szCs w:val="24"/>
          <w:color w:val="auto"/>
        </w:rPr>
      </w:pPr>
    </w:p>
    <w:p>
      <w:pPr>
        <w:ind w:left="3840"/>
        <w:spacing w:after="0"/>
        <w:rPr>
          <w:sz w:val="20"/>
          <w:szCs w:val="20"/>
          <w:color w:val="auto"/>
        </w:rPr>
      </w:pPr>
      <w:r>
        <w:rPr>
          <w:rFonts w:ascii="Arial" w:cs="Arial" w:eastAsia="Arial" w:hAnsi="Arial"/>
          <w:sz w:val="28"/>
          <w:szCs w:val="28"/>
          <w:b w:val="1"/>
          <w:bCs w:val="1"/>
          <w:color w:val="auto"/>
        </w:rPr>
        <w:t>des Instituts für Sozialwissenschaften</w:t>
      </w:r>
    </w:p>
    <w:p>
      <w:pPr>
        <w:spacing w:after="0" w:line="340" w:lineRule="exact"/>
        <w:rPr>
          <w:sz w:val="24"/>
          <w:szCs w:val="24"/>
          <w:color w:val="auto"/>
        </w:rPr>
      </w:pPr>
    </w:p>
    <w:p>
      <w:pPr>
        <w:ind w:left="3900"/>
        <w:spacing w:after="0"/>
        <w:rPr>
          <w:sz w:val="20"/>
          <w:szCs w:val="20"/>
          <w:color w:val="auto"/>
        </w:rPr>
      </w:pPr>
      <w:r>
        <w:rPr>
          <w:rFonts w:ascii="Arial" w:cs="Arial" w:eastAsia="Arial" w:hAnsi="Arial"/>
          <w:sz w:val="28"/>
          <w:szCs w:val="28"/>
          <w:b w:val="1"/>
          <w:bCs w:val="1"/>
          <w:color w:val="auto"/>
        </w:rPr>
        <w:t>der Universität Stuttgart: No. 2 / 2002</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1216025</wp:posOffset>
                </wp:positionV>
                <wp:extent cx="4427220" cy="7175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220" cy="71755"/>
                        </a:xfrm>
                        <a:prstGeom prst="rect">
                          <a:avLst/>
                        </a:prstGeom>
                        <a:solidFill>
                          <a:srgbClr val="000000"/>
                        </a:solidFill>
                      </wps:spPr>
                      <wps:bodyPr/>
                    </wps:wsp>
                  </a:graphicData>
                </a:graphic>
              </wp:anchor>
            </w:drawing>
          </mc:Choice>
          <mc:Fallback>
            <w:pict>
              <v:rect id="Shape 1" o:spid="_x0000_s1026" style="position:absolute;margin-left:98.1pt;margin-top:95.75pt;width:348.6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p>
      <w:pPr>
        <w:ind w:left="1960"/>
        <w:spacing w:after="0"/>
        <w:rPr>
          <w:sz w:val="20"/>
          <w:szCs w:val="20"/>
          <w:color w:val="auto"/>
        </w:rPr>
      </w:pPr>
      <w:r>
        <w:rPr>
          <w:rFonts w:ascii="Times New Roman" w:cs="Times New Roman" w:eastAsia="Times New Roman" w:hAnsi="Times New Roman"/>
          <w:sz w:val="28"/>
          <w:szCs w:val="28"/>
          <w:color w:val="auto"/>
        </w:rPr>
        <w:t>Vertrauen und Risikoakzeptanz</w:t>
      </w:r>
    </w:p>
    <w:p>
      <w:pPr>
        <w:spacing w:after="0" w:line="200" w:lineRule="exact"/>
        <w:rPr>
          <w:sz w:val="24"/>
          <w:szCs w:val="24"/>
          <w:color w:val="auto"/>
        </w:rPr>
      </w:pPr>
    </w:p>
    <w:p>
      <w:pPr>
        <w:spacing w:after="0" w:line="200" w:lineRule="exact"/>
        <w:rPr>
          <w:sz w:val="24"/>
          <w:szCs w:val="24"/>
          <w:color w:val="auto"/>
        </w:rPr>
      </w:pPr>
    </w:p>
    <w:p>
      <w:pPr>
        <w:spacing w:after="0" w:line="272" w:lineRule="exact"/>
        <w:rPr>
          <w:sz w:val="24"/>
          <w:szCs w:val="24"/>
          <w:color w:val="auto"/>
        </w:rPr>
      </w:pPr>
    </w:p>
    <w:p>
      <w:pPr>
        <w:ind w:left="1960"/>
        <w:spacing w:after="0"/>
        <w:rPr>
          <w:sz w:val="20"/>
          <w:szCs w:val="20"/>
          <w:color w:val="auto"/>
        </w:rPr>
      </w:pPr>
      <w:r>
        <w:rPr>
          <w:rFonts w:ascii="Times New Roman" w:cs="Times New Roman" w:eastAsia="Times New Roman" w:hAnsi="Times New Roman"/>
          <w:sz w:val="28"/>
          <w:szCs w:val="28"/>
          <w:color w:val="auto"/>
        </w:rPr>
        <w:t>Zur Relevanz von Vertrauen</w:t>
      </w:r>
    </w:p>
    <w:p>
      <w:pPr>
        <w:spacing w:after="0" w:line="141" w:lineRule="exact"/>
        <w:rPr>
          <w:sz w:val="24"/>
          <w:szCs w:val="24"/>
          <w:color w:val="auto"/>
        </w:rPr>
      </w:pPr>
    </w:p>
    <w:p>
      <w:pPr>
        <w:ind w:left="1960"/>
        <w:spacing w:after="0"/>
        <w:rPr>
          <w:sz w:val="20"/>
          <w:szCs w:val="20"/>
          <w:color w:val="auto"/>
        </w:rPr>
      </w:pPr>
      <w:r>
        <w:rPr>
          <w:rFonts w:ascii="Times New Roman" w:cs="Times New Roman" w:eastAsia="Times New Roman" w:hAnsi="Times New Roman"/>
          <w:sz w:val="28"/>
          <w:szCs w:val="28"/>
          <w:color w:val="auto"/>
        </w:rPr>
        <w:t>bei der Bewertung neuer Technologien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1245870</wp:posOffset>
                </wp:positionH>
                <wp:positionV relativeFrom="paragraph">
                  <wp:posOffset>882650</wp:posOffset>
                </wp:positionV>
                <wp:extent cx="4427220" cy="717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27220" cy="71755"/>
                        </a:xfrm>
                        <a:prstGeom prst="rect">
                          <a:avLst/>
                        </a:prstGeom>
                        <a:solidFill>
                          <a:srgbClr val="000000"/>
                        </a:solidFill>
                      </wps:spPr>
                      <wps:bodyPr/>
                    </wps:wsp>
                  </a:graphicData>
                </a:graphic>
              </wp:anchor>
            </w:drawing>
          </mc:Choice>
          <mc:Fallback>
            <w:pict>
              <v:rect id="Shape 2" o:spid="_x0000_s1027" style="position:absolute;margin-left:98.1pt;margin-top:69.5pt;width:348.6pt;height:5.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ind w:left="1960"/>
        <w:spacing w:after="0"/>
        <w:rPr>
          <w:sz w:val="20"/>
          <w:szCs w:val="20"/>
          <w:color w:val="auto"/>
        </w:rPr>
      </w:pPr>
      <w:r>
        <w:rPr>
          <w:rFonts w:ascii="Arial" w:cs="Arial" w:eastAsia="Arial" w:hAnsi="Arial"/>
          <w:sz w:val="26"/>
          <w:szCs w:val="26"/>
          <w:color w:val="auto"/>
        </w:rPr>
        <w:t>Martin Slaby</w:t>
      </w:r>
    </w:p>
    <w:p>
      <w:pPr>
        <w:spacing w:after="0" w:line="84" w:lineRule="exact"/>
        <w:rPr>
          <w:sz w:val="24"/>
          <w:szCs w:val="24"/>
          <w:color w:val="auto"/>
        </w:rPr>
      </w:pPr>
    </w:p>
    <w:p>
      <w:pPr>
        <w:ind w:left="1960"/>
        <w:spacing w:after="0"/>
        <w:rPr>
          <w:sz w:val="20"/>
          <w:szCs w:val="20"/>
          <w:color w:val="auto"/>
        </w:rPr>
      </w:pPr>
      <w:r>
        <w:rPr>
          <w:rFonts w:ascii="Arial" w:cs="Arial" w:eastAsia="Arial" w:hAnsi="Arial"/>
          <w:sz w:val="26"/>
          <w:szCs w:val="26"/>
          <w:color w:val="auto"/>
        </w:rPr>
        <w:t>Dieter Urban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6" w:lineRule="exact"/>
        <w:rPr>
          <w:sz w:val="24"/>
          <w:szCs w:val="24"/>
          <w:color w:val="auto"/>
        </w:rPr>
      </w:pPr>
    </w:p>
    <w:p>
      <w:pPr>
        <w:jc w:val="right"/>
        <w:ind w:right="80"/>
        <w:spacing w:after="0"/>
        <w:rPr>
          <w:sz w:val="20"/>
          <w:szCs w:val="20"/>
          <w:color w:val="auto"/>
        </w:rPr>
      </w:pPr>
      <w:r>
        <w:rPr>
          <w:rFonts w:ascii="Arial" w:cs="Arial" w:eastAsia="Arial" w:hAnsi="Arial"/>
          <w:sz w:val="26"/>
          <w:szCs w:val="26"/>
          <w:b w:val="1"/>
          <w:bCs w:val="1"/>
          <w:color w:val="auto"/>
        </w:rPr>
        <w:t>Institut für Sozialwissenschaften</w:t>
      </w:r>
    </w:p>
    <w:p>
      <w:pPr>
        <w:spacing w:after="0" w:line="84" w:lineRule="exact"/>
        <w:rPr>
          <w:sz w:val="24"/>
          <w:szCs w:val="24"/>
          <w:color w:val="auto"/>
        </w:rPr>
      </w:pPr>
    </w:p>
    <w:p>
      <w:pPr>
        <w:jc w:val="right"/>
        <w:ind w:right="80"/>
        <w:spacing w:after="0"/>
        <w:rPr>
          <w:sz w:val="20"/>
          <w:szCs w:val="20"/>
          <w:color w:val="auto"/>
        </w:rPr>
      </w:pPr>
      <w:r>
        <w:rPr>
          <w:rFonts w:ascii="Arial" w:cs="Arial" w:eastAsia="Arial" w:hAnsi="Arial"/>
          <w:sz w:val="26"/>
          <w:szCs w:val="26"/>
          <w:b w:val="1"/>
          <w:bCs w:val="1"/>
          <w:color w:val="auto"/>
        </w:rPr>
        <w:t>Abteilung für Soziologie I</w:t>
      </w:r>
    </w:p>
    <w:p>
      <w:pPr>
        <w:spacing w:after="0" w:line="84" w:lineRule="exact"/>
        <w:rPr>
          <w:sz w:val="24"/>
          <w:szCs w:val="24"/>
          <w:color w:val="auto"/>
        </w:rPr>
      </w:pPr>
    </w:p>
    <w:p>
      <w:pPr>
        <w:jc w:val="right"/>
        <w:ind w:right="80"/>
        <w:spacing w:after="0"/>
        <w:rPr>
          <w:sz w:val="20"/>
          <w:szCs w:val="20"/>
          <w:color w:val="auto"/>
        </w:rPr>
      </w:pPr>
      <w:r>
        <w:rPr>
          <w:rFonts w:ascii="Arial" w:cs="Arial" w:eastAsia="Arial" w:hAnsi="Arial"/>
          <w:sz w:val="26"/>
          <w:szCs w:val="26"/>
          <w:b w:val="1"/>
          <w:bCs w:val="1"/>
          <w:color w:val="auto"/>
        </w:rPr>
        <w:t>Universität Stuttgart</w:t>
      </w:r>
    </w:p>
    <w:p>
      <w:pPr>
        <w:spacing w:after="0" w:line="200" w:lineRule="exact"/>
        <w:rPr>
          <w:sz w:val="24"/>
          <w:szCs w:val="24"/>
          <w:color w:val="auto"/>
        </w:rPr>
      </w:pPr>
    </w:p>
    <w:p>
      <w:pPr>
        <w:spacing w:after="0" w:line="267" w:lineRule="exact"/>
        <w:rPr>
          <w:sz w:val="24"/>
          <w:szCs w:val="24"/>
          <w:color w:val="auto"/>
        </w:rPr>
      </w:pPr>
    </w:p>
    <w:p>
      <w:pPr>
        <w:jc w:val="right"/>
        <w:ind w:right="80"/>
        <w:spacing w:after="0"/>
        <w:rPr>
          <w:sz w:val="20"/>
          <w:szCs w:val="20"/>
          <w:color w:val="auto"/>
        </w:rPr>
      </w:pPr>
      <w:r>
        <w:rPr>
          <w:rFonts w:ascii="Arial" w:cs="Arial" w:eastAsia="Arial" w:hAnsi="Arial"/>
          <w:sz w:val="26"/>
          <w:szCs w:val="26"/>
          <w:b w:val="1"/>
          <w:bCs w:val="1"/>
          <w:color w:val="auto"/>
        </w:rPr>
        <w:t>70174 Stuttgart</w:t>
      </w:r>
    </w:p>
    <w:p>
      <w:pPr>
        <w:sectPr>
          <w:pgSz w:w="11900" w:h="16840" w:orient="portrait"/>
          <w:cols w:equalWidth="0" w:num="1">
            <w:col w:w="9020"/>
          </w:cols>
          <w:pgMar w:left="1440" w:top="1440" w:right="1440" w:bottom="1440" w:gutter="0" w:footer="0" w:header="0"/>
        </w:sectPr>
      </w:pPr>
    </w:p>
    <w:bookmarkStart w:id="1" w:name="page2"/>
    <w:bookmarkEnd w:id="1"/>
    <w:p>
      <w:pPr>
        <w:ind w:left="1700"/>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117475</wp:posOffset>
                </wp:positionV>
                <wp:extent cx="56515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515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25pt" to="466.5pt,9.25pt" o:allowincell="f" strokecolor="#000000" strokeweight="0.96pt"/>
            </w:pict>
          </mc:Fallback>
        </mc:AlternateContent>
      </w:r>
    </w:p>
    <w:p>
      <w:pPr>
        <w:spacing w:after="0" w:line="391" w:lineRule="exact"/>
        <w:rPr>
          <w:sz w:val="20"/>
          <w:szCs w:val="20"/>
          <w:color w:val="auto"/>
        </w:rPr>
      </w:pPr>
    </w:p>
    <w:p>
      <w:pPr>
        <w:ind w:left="440" w:right="580"/>
        <w:spacing w:after="0" w:line="263" w:lineRule="auto"/>
        <w:rPr>
          <w:sz w:val="20"/>
          <w:szCs w:val="20"/>
          <w:color w:val="auto"/>
        </w:rPr>
      </w:pPr>
      <w:r>
        <w:rPr>
          <w:rFonts w:ascii="Times New Roman" w:cs="Times New Roman" w:eastAsia="Times New Roman" w:hAnsi="Times New Roman"/>
          <w:sz w:val="24"/>
          <w:szCs w:val="24"/>
          <w:color w:val="auto"/>
        </w:rPr>
        <w:t>Vertrauen und Risikoakzeptanz. Zur Relevanz von Vertrauen bei der Bewertung neuer Technologien.</w:t>
      </w:r>
    </w:p>
    <w:p>
      <w:pPr>
        <w:spacing w:after="0" w:line="313" w:lineRule="exact"/>
        <w:rPr>
          <w:sz w:val="20"/>
          <w:szCs w:val="20"/>
          <w:color w:val="auto"/>
        </w:rPr>
      </w:pPr>
    </w:p>
    <w:p>
      <w:pPr>
        <w:jc w:val="both"/>
        <w:ind w:left="440"/>
        <w:spacing w:after="0" w:line="225" w:lineRule="auto"/>
        <w:rPr>
          <w:sz w:val="20"/>
          <w:szCs w:val="20"/>
          <w:color w:val="auto"/>
        </w:rPr>
      </w:pPr>
      <w:r>
        <w:rPr>
          <w:rFonts w:ascii="Times New Roman" w:cs="Times New Roman" w:eastAsia="Times New Roman" w:hAnsi="Times New Roman"/>
          <w:sz w:val="24"/>
          <w:szCs w:val="24"/>
          <w:color w:val="auto"/>
        </w:rPr>
        <w:t>Z U S A M M E N F A S S U N G: Die Studie argumentiert, dass Analysen zur subjektiven Bewertung neuer Technologien auch die Wirkung von Institutionenvertrauen untersuchen sollten, insbesondere dann, wenn Technologien komplex sind und als riskant wahrgenommen werden. Dazu wird gezeigt, dass Vertrauen auf verschiedene Weisen für die Urteilsbildung wichtig werden kann: a) als einfacher peripherer cue, b) als Input für systematische Urteils-prozesse 2. Ordnung, oder c) als indirekter Effekt der endogenen Variablen eines systemati-schen Prozesses der Urteilsbildung.</w:t>
      </w:r>
    </w:p>
    <w:p>
      <w:pPr>
        <w:spacing w:after="0" w:line="4" w:lineRule="exact"/>
        <w:rPr>
          <w:sz w:val="20"/>
          <w:szCs w:val="20"/>
          <w:color w:val="auto"/>
        </w:rPr>
      </w:pPr>
    </w:p>
    <w:p>
      <w:pPr>
        <w:jc w:val="both"/>
        <w:ind w:left="440" w:firstLine="283"/>
        <w:spacing w:after="0" w:line="234" w:lineRule="auto"/>
        <w:rPr>
          <w:sz w:val="20"/>
          <w:szCs w:val="20"/>
          <w:color w:val="auto"/>
        </w:rPr>
      </w:pPr>
      <w:r>
        <w:rPr>
          <w:rFonts w:ascii="Times New Roman" w:cs="Times New Roman" w:eastAsia="Times New Roman" w:hAnsi="Times New Roman"/>
          <w:sz w:val="23"/>
          <w:szCs w:val="23"/>
          <w:color w:val="auto"/>
        </w:rPr>
        <w:t>In Anlehnung an Prozessmodelle der Einstellungsbildung wird argumentiert, dass bei Vor-handensein hoher Motivation und Fähigkeit das Vertrauen in Organisationen, Institutionen und andere Personen lediglich indirekt über die beliefs einen Einfluss auf die Urteilsbildung neh-men wird. Bei mangelnder Motivation kann Vertrauen hingegen als einfacher peripherer cue fungieren und zur unreflektierten Adaption bzw. Ablehnung der Positionen einer externen Quelle führen. Als besonders interessant wird eine Situation mit hoher Motivation aber geringer Fähigkeit angesehen. Dort kann die Urteilsbildung als systematischer Prozess 2. Ordnung analysiert werden. Informationen über die Positionen externer Quellen dienen dann als Input für eine systematische Verarbeitung, wobei das Vertrauen in die externe Informationsquelle, deren thematische Relevanz sowie deren Kompetenz als die entscheidenden Gewichtungs-faktoren der Urteilsbildung anzusehen sind.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Trust and Risk Acceptance. The Importance of Trust When Assessing New Technologies.</w:t>
      </w:r>
    </w:p>
    <w:p>
      <w:pPr>
        <w:spacing w:after="0" w:line="362" w:lineRule="exact"/>
        <w:rPr>
          <w:sz w:val="20"/>
          <w:szCs w:val="20"/>
          <w:color w:val="auto"/>
        </w:rPr>
      </w:pPr>
    </w:p>
    <w:p>
      <w:pPr>
        <w:jc w:val="both"/>
        <w:ind w:left="440"/>
        <w:spacing w:after="0" w:line="226" w:lineRule="auto"/>
        <w:rPr>
          <w:sz w:val="20"/>
          <w:szCs w:val="20"/>
          <w:color w:val="auto"/>
        </w:rPr>
      </w:pPr>
      <w:r>
        <w:rPr>
          <w:rFonts w:ascii="Times New Roman" w:cs="Times New Roman" w:eastAsia="Times New Roman" w:hAnsi="Times New Roman"/>
          <w:sz w:val="24"/>
          <w:szCs w:val="24"/>
          <w:color w:val="auto"/>
        </w:rPr>
        <w:t>A B S T R A C T: This report argues that studies of the subjective evaluation of new technolo-gies should also focus on the effects of trust into social institutions especially when technolo-gies are complex and considered to be risky. It is shown that trust can be important for judging new technologies in three ways: it can function a) as a peripheric cue in decision making, b) as an input for systematic judgements, c) as indirect effects of endogenous variables influencing systematic decision processes.</w:t>
      </w:r>
    </w:p>
    <w:p>
      <w:pPr>
        <w:jc w:val="both"/>
        <w:ind w:left="440" w:firstLine="283"/>
        <w:spacing w:after="0" w:line="234" w:lineRule="auto"/>
        <w:rPr>
          <w:sz w:val="20"/>
          <w:szCs w:val="20"/>
          <w:color w:val="auto"/>
        </w:rPr>
      </w:pPr>
      <w:r>
        <w:rPr>
          <w:rFonts w:ascii="Times New Roman" w:cs="Times New Roman" w:eastAsia="Times New Roman" w:hAnsi="Times New Roman"/>
          <w:sz w:val="23"/>
          <w:szCs w:val="23"/>
          <w:color w:val="auto"/>
        </w:rPr>
        <w:t>Relying on process models of attitude formation, this report claims that with the existence of high motivation and opportunity, personal trust in organizations, institutions and people will effect judgements only indirectly by influencing cognitive beliefs. However, when motivation lacks, trust can function as a simple peripheric cue and can lead to an unreflected adaption to or rejection of external positions. Most interesting is a situation of high motivation but low opportunity. In this situation, decision making can be interpreted as a second order process of systematic information processing. In this case, information about external positions serve as input for systematic decision making processes and the most important weighting factors for the formation of personal judgements can be trust in the information source as well as issue-related relevancy and competence of the information source.</w:t>
      </w:r>
    </w:p>
    <w:p>
      <w:pPr>
        <w:sectPr>
          <w:pgSz w:w="11900" w:h="16840" w:orient="portrait"/>
          <w:cols w:equalWidth="0" w:num="1">
            <w:col w:w="9340"/>
          </w:cols>
          <w:pgMar w:left="1440" w:top="844" w:right="1120" w:bottom="1440" w:gutter="0" w:footer="0" w:header="0"/>
        </w:sectPr>
      </w:pPr>
    </w:p>
    <w:bookmarkStart w:id="2" w:name="page3"/>
    <w:bookmarkEnd w:id="2"/>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07"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6"/>
          <w:szCs w:val="26"/>
          <w:b w:val="1"/>
          <w:bCs w:val="1"/>
          <w:color w:val="auto"/>
        </w:rPr>
        <w:t>1 Einleitung</w:t>
      </w:r>
      <w:r>
        <w:rPr>
          <w:rFonts w:ascii="Times New Roman" w:cs="Times New Roman" w:eastAsia="Times New Roman" w:hAnsi="Times New Roman"/>
          <w:sz w:val="31"/>
          <w:szCs w:val="31"/>
          <w:b w:val="1"/>
          <w:bCs w:val="1"/>
          <w:color w:val="auto"/>
          <w:vertAlign w:val="superscript"/>
        </w:rPr>
        <w:t>1)</w:t>
      </w:r>
    </w:p>
    <w:p>
      <w:pPr>
        <w:spacing w:after="0" w:line="173" w:lineRule="exact"/>
        <w:rPr>
          <w:sz w:val="20"/>
          <w:szCs w:val="20"/>
          <w:color w:val="auto"/>
        </w:rPr>
      </w:pPr>
    </w:p>
    <w:p>
      <w:pPr>
        <w:jc w:val="both"/>
        <w:ind w:left="440"/>
        <w:spacing w:after="0" w:line="354" w:lineRule="auto"/>
        <w:rPr>
          <w:sz w:val="20"/>
          <w:szCs w:val="20"/>
          <w:color w:val="auto"/>
        </w:rPr>
      </w:pPr>
      <w:r>
        <w:rPr>
          <w:rFonts w:ascii="Times New Roman" w:cs="Times New Roman" w:eastAsia="Times New Roman" w:hAnsi="Times New Roman"/>
          <w:sz w:val="24"/>
          <w:szCs w:val="24"/>
          <w:color w:val="auto"/>
        </w:rPr>
        <w:t>In vielen empirischen Fallstudien zur Akzeptanz sozio-technischer Systeme, wie z.B. derjeni-gen von Kunreuther et al. (1990)</w:t>
      </w:r>
      <w:r>
        <w:rPr>
          <w:rFonts w:ascii="Times New Roman" w:cs="Times New Roman" w:eastAsia="Times New Roman" w:hAnsi="Times New Roman"/>
          <w:sz w:val="28"/>
          <w:szCs w:val="28"/>
          <w:color w:val="auto"/>
          <w:vertAlign w:val="superscript"/>
        </w:rPr>
        <w:t>2)</w:t>
      </w:r>
      <w:r>
        <w:rPr>
          <w:rFonts w:ascii="Times New Roman" w:cs="Times New Roman" w:eastAsia="Times New Roman" w:hAnsi="Times New Roman"/>
          <w:sz w:val="24"/>
          <w:szCs w:val="24"/>
          <w:color w:val="auto"/>
        </w:rPr>
        <w:t>, wurde nachgewiesen, dass das Vertrauen von Akteuren in technologie-relevante Institutionen zur Erklärung von Entscheidungen für oder gegen die Anwendung einer neuen Technologie beitragen kann.</w:t>
      </w:r>
    </w:p>
    <w:p>
      <w:pPr>
        <w:spacing w:after="0" w:line="62" w:lineRule="exact"/>
        <w:rPr>
          <w:sz w:val="20"/>
          <w:szCs w:val="20"/>
          <w:color w:val="auto"/>
        </w:rPr>
      </w:pPr>
    </w:p>
    <w:p>
      <w:pPr>
        <w:jc w:val="both"/>
        <w:ind w:left="440" w:firstLine="283"/>
        <w:spacing w:after="0" w:line="359" w:lineRule="auto"/>
        <w:rPr>
          <w:sz w:val="20"/>
          <w:szCs w:val="20"/>
          <w:color w:val="auto"/>
        </w:rPr>
      </w:pPr>
      <w:r>
        <w:rPr>
          <w:rFonts w:ascii="Times New Roman" w:cs="Times New Roman" w:eastAsia="Times New Roman" w:hAnsi="Times New Roman"/>
          <w:sz w:val="24"/>
          <w:szCs w:val="24"/>
          <w:color w:val="auto"/>
        </w:rPr>
        <w:t>Eine theoretische Fundierung des Zusammenhangs zwischen Institutionenvertrauen und einer entscheidungstheoretisch konzipierten Technikakzeptanz</w:t>
      </w:r>
      <w:r>
        <w:rPr>
          <w:rFonts w:ascii="Times New Roman" w:cs="Times New Roman" w:eastAsia="Times New Roman" w:hAnsi="Times New Roman"/>
          <w:sz w:val="28"/>
          <w:szCs w:val="28"/>
          <w:color w:val="auto"/>
          <w:vertAlign w:val="superscript"/>
        </w:rPr>
        <w:t>3)</w:t>
      </w:r>
      <w:r>
        <w:rPr>
          <w:rFonts w:ascii="Times New Roman" w:cs="Times New Roman" w:eastAsia="Times New Roman" w:hAnsi="Times New Roman"/>
          <w:sz w:val="24"/>
          <w:szCs w:val="24"/>
          <w:color w:val="auto"/>
        </w:rPr>
        <w:t xml:space="preserve"> steht aber noch weitgehend aus.</w:t>
      </w:r>
    </w:p>
    <w:p>
      <w:pPr>
        <w:spacing w:after="0" w:line="32" w:lineRule="exact"/>
        <w:rPr>
          <w:sz w:val="20"/>
          <w:szCs w:val="20"/>
          <w:color w:val="auto"/>
        </w:rPr>
      </w:pPr>
    </w:p>
    <w:p>
      <w:pPr>
        <w:jc w:val="both"/>
        <w:ind w:left="440" w:firstLine="283"/>
        <w:spacing w:after="0" w:line="379" w:lineRule="auto"/>
        <w:rPr>
          <w:sz w:val="20"/>
          <w:szCs w:val="20"/>
          <w:color w:val="auto"/>
        </w:rPr>
      </w:pPr>
      <w:r>
        <w:rPr>
          <w:rFonts w:ascii="Times New Roman" w:cs="Times New Roman" w:eastAsia="Times New Roman" w:hAnsi="Times New Roman"/>
          <w:sz w:val="24"/>
          <w:szCs w:val="24"/>
          <w:color w:val="auto"/>
        </w:rPr>
        <w:t>Im Folgenden soll deshalb auf theoretischer und empirischer Ebene untersucht werden, welche Bedeutung dem „Vertrauen“ in Entscheidungssituationen unter Risiko zukommt. Dabei sind zumindest zwei unterschiedliche Effekte von Vertrauen zu unterscheiden.</w:t>
      </w:r>
    </w:p>
    <w:p>
      <w:pPr>
        <w:spacing w:after="0" w:line="32" w:lineRule="exact"/>
        <w:rPr>
          <w:sz w:val="20"/>
          <w:szCs w:val="20"/>
          <w:color w:val="auto"/>
        </w:rPr>
      </w:pPr>
    </w:p>
    <w:p>
      <w:pPr>
        <w:jc w:val="both"/>
        <w:ind w:left="440" w:firstLine="283"/>
        <w:spacing w:after="0" w:line="354" w:lineRule="auto"/>
        <w:rPr>
          <w:sz w:val="20"/>
          <w:szCs w:val="20"/>
          <w:color w:val="auto"/>
        </w:rPr>
      </w:pPr>
      <w:r>
        <w:rPr>
          <w:rFonts w:ascii="Times New Roman" w:cs="Times New Roman" w:eastAsia="Times New Roman" w:hAnsi="Times New Roman"/>
          <w:sz w:val="24"/>
          <w:szCs w:val="24"/>
          <w:color w:val="auto"/>
        </w:rPr>
        <w:t>Zum einen kann Vertrauen in direktem Zusammenhang mit der Einschätzung von potentiel-len Konsequenzen einer Aktivität</w:t>
      </w:r>
      <w:r>
        <w:rPr>
          <w:rFonts w:ascii="Times New Roman" w:cs="Times New Roman" w:eastAsia="Times New Roman" w:hAnsi="Times New Roman"/>
          <w:sz w:val="28"/>
          <w:szCs w:val="28"/>
          <w:color w:val="auto"/>
          <w:vertAlign w:val="superscript"/>
        </w:rPr>
        <w:t>4)</w:t>
      </w:r>
      <w:r>
        <w:rPr>
          <w:rFonts w:ascii="Times New Roman" w:cs="Times New Roman" w:eastAsia="Times New Roman" w:hAnsi="Times New Roman"/>
          <w:sz w:val="24"/>
          <w:szCs w:val="24"/>
          <w:color w:val="auto"/>
        </w:rPr>
        <w:t xml:space="preserve"> diskutiert werden. Dabei stehen diejenigen Personen und Organisationen im Vordergrund der Analyse, welche die entsprechende Aktivität direkt kon-trollieren.</w:t>
      </w:r>
    </w:p>
    <w:p>
      <w:pPr>
        <w:spacing w:after="0" w:line="62" w:lineRule="exact"/>
        <w:rPr>
          <w:sz w:val="20"/>
          <w:szCs w:val="20"/>
          <w:color w:val="auto"/>
        </w:rPr>
      </w:pPr>
    </w:p>
    <w:p>
      <w:pPr>
        <w:jc w:val="both"/>
        <w:ind w:left="440" w:firstLine="283"/>
        <w:spacing w:after="0" w:line="372" w:lineRule="auto"/>
        <w:rPr>
          <w:sz w:val="20"/>
          <w:szCs w:val="20"/>
          <w:color w:val="auto"/>
        </w:rPr>
      </w:pPr>
      <w:r>
        <w:rPr>
          <w:rFonts w:ascii="Times New Roman" w:cs="Times New Roman" w:eastAsia="Times New Roman" w:hAnsi="Times New Roman"/>
          <w:sz w:val="24"/>
          <w:szCs w:val="24"/>
          <w:color w:val="auto"/>
        </w:rPr>
        <w:t>Andererseits kann Vertrauen aber auch als „einfache Daumenregel“ für die Bewertung einer Aktivität herangezogen werden. In diesem Fall erweitert sich der Kreis der relevanten Personen und Institutionen, da nun nicht mehr der Aspekt der Kontrolle einer Aktivität im Vordergrund der Analyse steht, sondern nunmehr Überlegungen zur Ableitung von Urteilen aus den Positio-nen relevanter Anderer hinzukommen.</w:t>
      </w:r>
    </w:p>
    <w:p>
      <w:pPr>
        <w:spacing w:after="0" w:line="28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6"/>
          <w:szCs w:val="26"/>
          <w:b w:val="1"/>
          <w:bCs w:val="1"/>
          <w:color w:val="auto"/>
        </w:rPr>
        <w:t>2 Vertrauen in Personen und Institutionen, die die Aktivität kontrollieren</w:t>
      </w:r>
    </w:p>
    <w:p>
      <w:pPr>
        <w:spacing w:after="0" w:line="229" w:lineRule="exact"/>
        <w:rPr>
          <w:sz w:val="20"/>
          <w:szCs w:val="20"/>
          <w:color w:val="auto"/>
        </w:rPr>
      </w:pPr>
    </w:p>
    <w:p>
      <w:pPr>
        <w:jc w:val="both"/>
        <w:ind w:left="440"/>
        <w:spacing w:after="0" w:line="401" w:lineRule="auto"/>
        <w:rPr>
          <w:sz w:val="20"/>
          <w:szCs w:val="20"/>
          <w:color w:val="auto"/>
        </w:rPr>
      </w:pPr>
      <w:r>
        <w:rPr>
          <w:rFonts w:ascii="Times New Roman" w:cs="Times New Roman" w:eastAsia="Times New Roman" w:hAnsi="Times New Roman"/>
          <w:sz w:val="23"/>
          <w:szCs w:val="23"/>
          <w:color w:val="auto"/>
        </w:rPr>
        <w:t>Ausgangspunkt für die folgende Erörterung soll eine Auseinandersetzung mit dem Begriff des Vertrauens in den Schriften von James Coleman sein (vgl. ders. 1990, Kapitel 5). Nach Cole-man sind Situationen, in denen Vertrauen relevant wird, eine Unterklasse von risikobehafteten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253365</wp:posOffset>
                </wp:positionV>
                <wp:extent cx="182753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9.95pt" to="165.4pt,19.95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both"/>
        <w:ind w:left="880" w:right="20" w:hanging="449"/>
        <w:spacing w:after="0" w:line="260" w:lineRule="auto"/>
        <w:tabs>
          <w:tab w:leader="none" w:pos="88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Diese Studie entstand im Rahmen des von der DFG geförderten Projektes „Entwicklung kognitiver Modelle der Informationsverarbeitung zur empirischen Analyse von Einstellungen/Risikoperzeptionen gegenüber Anwendungen der modernen Gentechnologie“.</w:t>
      </w:r>
    </w:p>
    <w:p>
      <w:pPr>
        <w:spacing w:after="0" w:line="194" w:lineRule="exact"/>
        <w:rPr>
          <w:rFonts w:ascii="Times New Roman" w:cs="Times New Roman" w:eastAsia="Times New Roman" w:hAnsi="Times New Roman"/>
          <w:sz w:val="20"/>
          <w:szCs w:val="20"/>
          <w:color w:val="auto"/>
        </w:rPr>
      </w:pPr>
    </w:p>
    <w:p>
      <w:pPr>
        <w:ind w:left="880" w:hanging="449"/>
        <w:spacing w:after="0"/>
        <w:tabs>
          <w:tab w:leader="none" w:pos="88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Dazu mehr im Folgenden.</w:t>
      </w:r>
    </w:p>
    <w:p>
      <w:pPr>
        <w:spacing w:after="0" w:line="244" w:lineRule="exact"/>
        <w:rPr>
          <w:rFonts w:ascii="Times New Roman" w:cs="Times New Roman" w:eastAsia="Times New Roman" w:hAnsi="Times New Roman"/>
          <w:sz w:val="20"/>
          <w:szCs w:val="20"/>
          <w:color w:val="auto"/>
        </w:rPr>
      </w:pPr>
    </w:p>
    <w:p>
      <w:pPr>
        <w:ind w:left="880" w:hanging="449"/>
        <w:spacing w:after="0"/>
        <w:tabs>
          <w:tab w:leader="none" w:pos="88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Vgl. dazu Slaby/Urban 2002.</w:t>
      </w:r>
    </w:p>
    <w:p>
      <w:pPr>
        <w:spacing w:after="0" w:line="244" w:lineRule="exact"/>
        <w:rPr>
          <w:rFonts w:ascii="Times New Roman" w:cs="Times New Roman" w:eastAsia="Times New Roman" w:hAnsi="Times New Roman"/>
          <w:sz w:val="20"/>
          <w:szCs w:val="20"/>
          <w:color w:val="auto"/>
        </w:rPr>
      </w:pPr>
    </w:p>
    <w:p>
      <w:pPr>
        <w:ind w:left="880" w:right="20" w:hanging="449"/>
        <w:spacing w:after="0" w:line="276" w:lineRule="auto"/>
        <w:tabs>
          <w:tab w:leader="none" w:pos="88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Aus sprachökonomischen Gründen benutzen wir den Begriff der „Aktivität“ als Sammelbegriff für risikobezogene Handlungen, Objekte und Technologien.</w:t>
      </w:r>
    </w:p>
    <w:p>
      <w:pPr>
        <w:sectPr>
          <w:pgSz w:w="11900" w:h="16840" w:orient="portrait"/>
          <w:cols w:equalWidth="0" w:num="1">
            <w:col w:w="9340"/>
          </w:cols>
          <w:pgMar w:left="1440" w:top="835" w:right="1120" w:bottom="523" w:gutter="0" w:footer="0" w:header="0"/>
        </w:sectPr>
      </w:pPr>
    </w:p>
    <w:bookmarkStart w:id="3" w:name="page4"/>
    <w:bookmarkEnd w:id="3"/>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2</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Situationen: „They are situations in which the risk one takes depends on the performance of</w:t>
      </w:r>
    </w:p>
    <w:p>
      <w:pPr>
        <w:spacing w:after="0" w:line="142" w:lineRule="exact"/>
        <w:rPr>
          <w:sz w:val="20"/>
          <w:szCs w:val="20"/>
          <w:color w:val="auto"/>
        </w:rPr>
      </w:pPr>
    </w:p>
    <w:p>
      <w:pPr>
        <w:jc w:val="both"/>
        <w:ind w:left="440"/>
        <w:spacing w:after="0" w:line="359" w:lineRule="auto"/>
        <w:rPr>
          <w:sz w:val="20"/>
          <w:szCs w:val="20"/>
          <w:color w:val="auto"/>
        </w:rPr>
      </w:pPr>
      <w:r>
        <w:rPr>
          <w:rFonts w:ascii="Times New Roman" w:cs="Times New Roman" w:eastAsia="Times New Roman" w:hAnsi="Times New Roman"/>
          <w:sz w:val="24"/>
          <w:szCs w:val="24"/>
          <w:color w:val="auto"/>
        </w:rPr>
        <w:t>another actor." (Coleman 1990: 91)</w:t>
      </w:r>
      <w:r>
        <w:rPr>
          <w:rFonts w:ascii="Times New Roman" w:cs="Times New Roman" w:eastAsia="Times New Roman" w:hAnsi="Times New Roman"/>
          <w:sz w:val="28"/>
          <w:szCs w:val="28"/>
          <w:color w:val="auto"/>
          <w:vertAlign w:val="superscript"/>
        </w:rPr>
        <w:t>5)</w:t>
      </w:r>
      <w:r>
        <w:rPr>
          <w:rFonts w:ascii="Times New Roman" w:cs="Times New Roman" w:eastAsia="Times New Roman" w:hAnsi="Times New Roman"/>
          <w:sz w:val="24"/>
          <w:szCs w:val="24"/>
          <w:color w:val="auto"/>
        </w:rPr>
        <w:t xml:space="preserve"> Besteht in einer Situation „Vertrauen“, so erweitert dies den Handlungsspielraum der VertrauensnehmerIn (VN), es werden also Handlungen möglich, die ohne Vertrauen nicht zu realisieren wären, da der/die VertrauensgeberIn (VG) wichtige Ressourcen an VN überträgt.. Diese Ressourcen können dann zur Steigerung des Nutzens von VN, VG oder von beiden eingesetzt werden. Allerdings gilt auch, dass eine Steigerung des Nutzens auf Seiten von VG nur dann eintreten kann, wenn VN vertrauenswürdig ist. Ansonsten erzielt VG Verluste.</w:t>
      </w:r>
    </w:p>
    <w:p>
      <w:pPr>
        <w:spacing w:after="0" w:line="56" w:lineRule="exact"/>
        <w:rPr>
          <w:sz w:val="20"/>
          <w:szCs w:val="20"/>
          <w:color w:val="auto"/>
        </w:rPr>
      </w:pPr>
    </w:p>
    <w:p>
      <w:pPr>
        <w:jc w:val="both"/>
        <w:ind w:left="440" w:firstLine="283"/>
        <w:spacing w:after="0" w:line="374" w:lineRule="auto"/>
        <w:rPr>
          <w:sz w:val="20"/>
          <w:szCs w:val="20"/>
          <w:color w:val="auto"/>
        </w:rPr>
      </w:pPr>
      <w:r>
        <w:rPr>
          <w:rFonts w:ascii="Times New Roman" w:cs="Times New Roman" w:eastAsia="Times New Roman" w:hAnsi="Times New Roman"/>
          <w:sz w:val="24"/>
          <w:szCs w:val="24"/>
          <w:color w:val="auto"/>
        </w:rPr>
        <w:t>Coleman kennzeichnet das Entscheidungsproblem von VG mittels eines Modells, welches die Variablen G (potentielle Gewinne), L (potentielle Verluste) und p (die Wahrscheinlichkeit dafür, das G realisiert wird, wenn Vertrauen gegeben wird) umfasst. Damit lässt sich für das Geben von Vertrauen folgende Bedingung formulieren:</w:t>
      </w:r>
    </w:p>
    <w:p>
      <w:pPr>
        <w:spacing w:after="0" w:line="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p/(1-p) &gt; L/G, wobei (1-p) die Wahrscheinlichkeit des Vertrauensbruchs bezeichnet.</w:t>
      </w:r>
      <w:r>
        <w:rPr>
          <w:rFonts w:ascii="Times New Roman" w:cs="Times New Roman" w:eastAsia="Times New Roman" w:hAnsi="Times New Roman"/>
          <w:sz w:val="28"/>
          <w:szCs w:val="28"/>
          <w:color w:val="auto"/>
          <w:vertAlign w:val="superscript"/>
        </w:rPr>
        <w:t>6)</w:t>
      </w:r>
    </w:p>
    <w:p>
      <w:pPr>
        <w:spacing w:after="0" w:line="180" w:lineRule="exact"/>
        <w:rPr>
          <w:sz w:val="20"/>
          <w:szCs w:val="20"/>
          <w:color w:val="auto"/>
        </w:rPr>
      </w:pPr>
    </w:p>
    <w:p>
      <w:pPr>
        <w:jc w:val="both"/>
        <w:ind w:left="440" w:firstLine="283"/>
        <w:spacing w:after="0" w:line="372" w:lineRule="auto"/>
        <w:rPr>
          <w:sz w:val="20"/>
          <w:szCs w:val="20"/>
          <w:color w:val="auto"/>
        </w:rPr>
      </w:pPr>
      <w:r>
        <w:rPr>
          <w:rFonts w:ascii="Times New Roman" w:cs="Times New Roman" w:eastAsia="Times New Roman" w:hAnsi="Times New Roman"/>
          <w:sz w:val="24"/>
          <w:szCs w:val="24"/>
          <w:color w:val="auto"/>
        </w:rPr>
        <w:t>Wie der Formel zu entnehmen ist, muss eine geringe Vertrauenswürdigkeit mit hohen potentiellen Gewinnen 'bezahlt' werden bzw. müssen dafür die potentiellen Verluste gering sein. Umgekehrt können bei einem hohen Grad an Vertrauenswürdigkeit auch solche Aktivitä-ten realisiert werden, die mit hohen Verlusten und gleichzeitig vergleichsweise geringen Gewinnen verbunden sind. Abbildung 1 verdeutlicht diesen Zusammenhang.</w:t>
      </w:r>
    </w:p>
    <w:p>
      <w:pPr>
        <w:spacing w:after="0" w:line="38" w:lineRule="exact"/>
        <w:rPr>
          <w:sz w:val="20"/>
          <w:szCs w:val="20"/>
          <w:color w:val="auto"/>
        </w:rPr>
      </w:pPr>
    </w:p>
    <w:p>
      <w:pPr>
        <w:jc w:val="both"/>
        <w:ind w:left="440" w:firstLine="283"/>
        <w:spacing w:after="0" w:line="354" w:lineRule="auto"/>
        <w:rPr>
          <w:sz w:val="20"/>
          <w:szCs w:val="20"/>
          <w:color w:val="auto"/>
        </w:rPr>
      </w:pPr>
      <w:r>
        <w:rPr>
          <w:rFonts w:ascii="Times New Roman" w:cs="Times New Roman" w:eastAsia="Times New Roman" w:hAnsi="Times New Roman"/>
          <w:sz w:val="24"/>
          <w:szCs w:val="24"/>
          <w:color w:val="auto"/>
        </w:rPr>
        <w:t>Coleman erweitert nun dieses einfache Grundmodell um zwei Gedankengänge. Zum einen diskutiert er die Situation, in der einer Person noch andere Handlungsalternativen zur Zielerrei-chung zur Verfügung stehen. In solchen Situationen erhöhen sich die Ansprüche an die Ver-trauenswürdigkeit, da nun (zur Vereinfachung sei unterstellt, dass die Alternative den sicheren Gewinn G</w:t>
      </w:r>
      <w:r>
        <w:rPr>
          <w:rFonts w:ascii="Times New Roman" w:cs="Times New Roman" w:eastAsia="Times New Roman" w:hAnsi="Times New Roman"/>
          <w:sz w:val="28"/>
          <w:szCs w:val="28"/>
          <w:color w:val="auto"/>
          <w:vertAlign w:val="subscript"/>
        </w:rPr>
        <w:t>a</w:t>
      </w:r>
      <w:r>
        <w:rPr>
          <w:rFonts w:ascii="Times New Roman" w:cs="Times New Roman" w:eastAsia="Times New Roman" w:hAnsi="Times New Roman"/>
          <w:sz w:val="24"/>
          <w:szCs w:val="24"/>
          <w:color w:val="auto"/>
        </w:rPr>
        <w:t xml:space="preserve"> verspricht) die Ungleichung pG &gt; (1-p) L + G</w:t>
      </w:r>
      <w:r>
        <w:rPr>
          <w:rFonts w:ascii="Times New Roman" w:cs="Times New Roman" w:eastAsia="Times New Roman" w:hAnsi="Times New Roman"/>
          <w:sz w:val="28"/>
          <w:szCs w:val="28"/>
          <w:color w:val="auto"/>
          <w:vertAlign w:val="subscript"/>
        </w:rPr>
        <w:t>a</w:t>
      </w:r>
      <w:r>
        <w:rPr>
          <w:rFonts w:ascii="Times New Roman" w:cs="Times New Roman" w:eastAsia="Times New Roman" w:hAnsi="Times New Roman"/>
          <w:sz w:val="24"/>
          <w:szCs w:val="24"/>
          <w:color w:val="auto"/>
        </w:rPr>
        <w:t xml:space="preserve"> erfüllt werden muss. Leicht ist ersichtlich, dass diese Bedingung lediglich dann erfüllt werden kann, wenn sowohl ein beträcht-liches Ausmaß an Vertrauen vorhanden ist, als auch eine deutliche Differenz in der Gewinner-wartung (G-G</w:t>
      </w:r>
      <w:r>
        <w:rPr>
          <w:rFonts w:ascii="Times New Roman" w:cs="Times New Roman" w:eastAsia="Times New Roman" w:hAnsi="Times New Roman"/>
          <w:sz w:val="28"/>
          <w:szCs w:val="28"/>
          <w:color w:val="auto"/>
          <w:vertAlign w:val="subscript"/>
        </w:rPr>
        <w:t>a</w:t>
      </w:r>
      <w:r>
        <w:rPr>
          <w:rFonts w:ascii="Times New Roman" w:cs="Times New Roman" w:eastAsia="Times New Roman" w:hAnsi="Times New Roman"/>
          <w:sz w:val="24"/>
          <w:szCs w:val="24"/>
          <w:color w:val="auto"/>
        </w:rPr>
        <w:t>) besteht.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89535</wp:posOffset>
                </wp:positionV>
                <wp:extent cx="182753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05pt" to="165.4pt,7.05pt" o:allowincell="f" strokecolor="#000000" strokeweight="0.9599pt"/>
            </w:pict>
          </mc:Fallback>
        </mc:AlternateContent>
      </w:r>
    </w:p>
    <w:p>
      <w:pPr>
        <w:spacing w:after="0" w:line="349" w:lineRule="exact"/>
        <w:rPr>
          <w:sz w:val="20"/>
          <w:szCs w:val="20"/>
          <w:color w:val="auto"/>
        </w:rPr>
      </w:pPr>
    </w:p>
    <w:p>
      <w:pPr>
        <w:ind w:left="880" w:hanging="449"/>
        <w:spacing w:after="0"/>
        <w:tabs>
          <w:tab w:leader="none" w:pos="8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Dies entspricht im Wesentlichen auch der Sichtweise von Kunreuther/Easterling (1989).</w:t>
      </w:r>
    </w:p>
    <w:p>
      <w:pPr>
        <w:spacing w:after="0" w:line="244" w:lineRule="exact"/>
        <w:rPr>
          <w:rFonts w:ascii="Times New Roman" w:cs="Times New Roman" w:eastAsia="Times New Roman" w:hAnsi="Times New Roman"/>
          <w:sz w:val="20"/>
          <w:szCs w:val="20"/>
          <w:color w:val="auto"/>
        </w:rPr>
      </w:pPr>
    </w:p>
    <w:p>
      <w:pPr>
        <w:jc w:val="both"/>
        <w:ind w:left="880" w:hanging="449"/>
        <w:spacing w:after="0" w:line="242" w:lineRule="auto"/>
        <w:tabs>
          <w:tab w:leader="none" w:pos="880"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Coleman führt hier implizit die Vereinfachung ein, dass VG nur zwischen den Alternativen „Handlung ja/nein“ wählen kann und nicht zwischen mehreren Handlungen, die zur Zielerreichung möglich sind. Weiterhin bedarf es eines Hinweises. G und L bezeichnen keine sicheren Größen, sondern die potentiellen Gewinne und die potentiellen Verluste. Für den erwarteten Gewinn ergibt sich somit z.B. G</w:t>
      </w:r>
      <w:r>
        <w:rPr>
          <w:rFonts w:ascii="Times New Roman" w:cs="Times New Roman" w:eastAsia="Times New Roman" w:hAnsi="Times New Roman"/>
          <w:sz w:val="24"/>
          <w:szCs w:val="24"/>
          <w:color w:val="auto"/>
          <w:vertAlign w:val="subscript"/>
        </w:rPr>
        <w:t>erw.=</w:t>
      </w:r>
      <w:r>
        <w:rPr>
          <w:rFonts w:ascii="Times New Roman" w:cs="Times New Roman" w:eastAsia="Times New Roman" w:hAnsi="Times New Roman"/>
          <w:sz w:val="20"/>
          <w:szCs w:val="20"/>
          <w:color w:val="auto"/>
        </w:rPr>
        <w:t>p</w:t>
      </w:r>
      <w:r>
        <w:rPr>
          <w:rFonts w:ascii="Times New Roman" w:cs="Times New Roman" w:eastAsia="Times New Roman" w:hAnsi="Times New Roman"/>
          <w:sz w:val="24"/>
          <w:szCs w:val="24"/>
          <w:color w:val="auto"/>
          <w:vertAlign w:val="subscript"/>
        </w:rPr>
        <w:t>V</w:t>
      </w:r>
      <w:r>
        <w:rPr>
          <w:rFonts w:ascii="Arial" w:cs="Arial" w:eastAsia="Arial" w:hAnsi="Arial"/>
          <w:sz w:val="20"/>
          <w:szCs w:val="20"/>
          <w:color w:val="auto"/>
        </w:rPr>
        <w:t>(</w:t>
      </w:r>
      <w:r>
        <w:rPr>
          <w:rFonts w:ascii="Times New Roman" w:cs="Times New Roman" w:eastAsia="Times New Roman" w:hAnsi="Times New Roman"/>
          <w:sz w:val="20"/>
          <w:szCs w:val="20"/>
          <w:color w:val="auto"/>
        </w:rPr>
        <w:t>p</w:t>
      </w:r>
      <w:r>
        <w:rPr>
          <w:rFonts w:ascii="Times New Roman" w:cs="Times New Roman" w:eastAsia="Times New Roman" w:hAnsi="Times New Roman"/>
          <w:sz w:val="24"/>
          <w:szCs w:val="24"/>
          <w:color w:val="auto"/>
          <w:vertAlign w:val="subscript"/>
        </w:rPr>
        <w:t>G</w:t>
      </w:r>
      <w:r>
        <w:rPr>
          <w:rFonts w:ascii="Arial" w:cs="Arial" w:eastAsia="Arial" w:hAnsi="Arial"/>
          <w:sz w:val="20"/>
          <w:szCs w:val="20"/>
          <w:color w:val="auto"/>
        </w:rPr>
        <w:t>(</w:t>
      </w:r>
      <w:r>
        <w:rPr>
          <w:rFonts w:ascii="Times New Roman" w:cs="Times New Roman" w:eastAsia="Times New Roman" w:hAnsi="Times New Roman"/>
          <w:sz w:val="20"/>
          <w:szCs w:val="20"/>
          <w:color w:val="auto"/>
        </w:rPr>
        <w:t>G, wobei p</w:t>
      </w:r>
      <w:r>
        <w:rPr>
          <w:rFonts w:ascii="Times New Roman" w:cs="Times New Roman" w:eastAsia="Times New Roman" w:hAnsi="Times New Roman"/>
          <w:sz w:val="24"/>
          <w:szCs w:val="24"/>
          <w:color w:val="auto"/>
          <w:vertAlign w:val="subscript"/>
        </w:rPr>
        <w:t>V</w:t>
      </w:r>
      <w:r>
        <w:rPr>
          <w:rFonts w:ascii="Times New Roman" w:cs="Times New Roman" w:eastAsia="Times New Roman" w:hAnsi="Times New Roman"/>
          <w:sz w:val="20"/>
          <w:szCs w:val="20"/>
          <w:color w:val="auto"/>
        </w:rPr>
        <w:t xml:space="preserve"> die Wahrscheinlichkeit, dass das Vertrauen eingehalten wird und p</w:t>
      </w:r>
      <w:r>
        <w:rPr>
          <w:rFonts w:ascii="Times New Roman" w:cs="Times New Roman" w:eastAsia="Times New Roman" w:hAnsi="Times New Roman"/>
          <w:sz w:val="24"/>
          <w:szCs w:val="24"/>
          <w:color w:val="auto"/>
          <w:vertAlign w:val="subscript"/>
        </w:rPr>
        <w:t>G</w:t>
      </w:r>
      <w:r>
        <w:rPr>
          <w:rFonts w:ascii="Times New Roman" w:cs="Times New Roman" w:eastAsia="Times New Roman" w:hAnsi="Times New Roman"/>
          <w:sz w:val="20"/>
          <w:szCs w:val="20"/>
          <w:color w:val="auto"/>
        </w:rPr>
        <w:t xml:space="preserve"> die Wahrscheinlichkeit, dass der Gewinn mit der Aktivität realisiert wird, bezeichnet. Colemangeht an anderer Stelle explizit auf diesen Sachverhalt ein: "In various circumstances the three quantities p, L, and G are known to different extents." (ders. 1990: 102)</w:t>
      </w:r>
    </w:p>
    <w:p>
      <w:pPr>
        <w:sectPr>
          <w:pgSz w:w="11900" w:h="16840" w:orient="portrait"/>
          <w:cols w:equalWidth="0" w:num="1">
            <w:col w:w="9340"/>
          </w:cols>
          <w:pgMar w:left="1440" w:top="835" w:right="1120" w:bottom="561" w:gutter="0" w:footer="0" w:header="0"/>
        </w:sectPr>
      </w:pPr>
    </w:p>
    <w:bookmarkStart w:id="4" w:name="page5"/>
    <w:bookmarkEnd w:id="4"/>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880" w:right="920" w:hanging="1439"/>
        <w:spacing w:after="0" w:line="232" w:lineRule="auto"/>
        <w:rPr>
          <w:sz w:val="20"/>
          <w:szCs w:val="20"/>
          <w:color w:val="auto"/>
        </w:rPr>
      </w:pPr>
      <w:r>
        <w:rPr>
          <w:rFonts w:ascii="Times New Roman" w:cs="Times New Roman" w:eastAsia="Times New Roman" w:hAnsi="Times New Roman"/>
          <w:sz w:val="24"/>
          <w:szCs w:val="24"/>
          <w:color w:val="auto"/>
        </w:rPr>
        <w:t>Abbildung 1: Beziehung zwischen dem Verhältnis von potentiellen Verlusten und potentiellen Gewinnen und dem Vertrauen</w:t>
      </w:r>
    </w:p>
    <w:p>
      <w:pPr>
        <w:sectPr>
          <w:pgSz w:w="11900" w:h="16840" w:orient="portrait"/>
          <w:cols w:equalWidth="0" w:num="1">
            <w:col w:w="9340"/>
          </w:cols>
          <w:pgMar w:left="1440" w:top="835" w:right="1120" w:bottom="528" w:gutter="0" w:footer="0" w:header="0"/>
        </w:sectPr>
      </w:pPr>
    </w:p>
    <w:p>
      <w:pPr>
        <w:spacing w:after="0" w:line="200" w:lineRule="exact"/>
        <w:rPr>
          <w:sz w:val="20"/>
          <w:szCs w:val="20"/>
          <w:color w:val="auto"/>
        </w:rPr>
      </w:pPr>
    </w:p>
    <w:p>
      <w:pPr>
        <w:spacing w:after="0" w:line="202" w:lineRule="exact"/>
        <w:rPr>
          <w:sz w:val="20"/>
          <w:szCs w:val="20"/>
          <w:color w:val="auto"/>
        </w:rPr>
      </w:pPr>
    </w:p>
    <w:tbl>
      <w:tblPr>
        <w:tblLayout w:type="fixed"/>
        <w:tblInd w:w="660" w:type="dxa"/>
        <w:tblCellMar>
          <w:top w:w="0" w:type="dxa"/>
          <w:left w:w="0" w:type="dxa"/>
          <w:bottom w:w="0" w:type="dxa"/>
          <w:right w:w="0" w:type="dxa"/>
        </w:tblCellMar>
      </w:tblPr>
      <w:tr>
        <w:trPr>
          <w:trHeight w:val="188"/>
        </w:trPr>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540" w:type="dxa"/>
            <w:vAlign w:val="bottom"/>
          </w:tcPr>
          <w:p>
            <w:pPr>
              <w:jc w:val="right"/>
              <w:spacing w:after="0"/>
              <w:rPr>
                <w:sz w:val="20"/>
                <w:szCs w:val="20"/>
                <w:color w:val="auto"/>
              </w:rPr>
            </w:pPr>
            <w:r>
              <w:rPr>
                <w:rFonts w:ascii="Arial" w:cs="Arial" w:eastAsia="Arial" w:hAnsi="Arial"/>
                <w:sz w:val="14"/>
                <w:szCs w:val="14"/>
                <w:color w:val="auto"/>
              </w:rPr>
              <w:t>(a)</w:t>
            </w:r>
          </w:p>
        </w:tc>
        <w:tc>
          <w:tcPr>
            <w:tcW w:w="7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380" w:type="dxa"/>
            <w:vAlign w:val="bottom"/>
          </w:tcPr>
          <w:p>
            <w:pPr>
              <w:spacing w:after="0"/>
              <w:rPr>
                <w:sz w:val="16"/>
                <w:szCs w:val="16"/>
                <w:color w:val="auto"/>
              </w:rPr>
            </w:pPr>
          </w:p>
        </w:tc>
      </w:tr>
      <w:tr>
        <w:trPr>
          <w:trHeight w:val="480"/>
        </w:trPr>
        <w:tc>
          <w:tcPr>
            <w:tcW w:w="560" w:type="dxa"/>
            <w:vAlign w:val="bottom"/>
          </w:tcPr>
          <w:p>
            <w:pPr>
              <w:jc w:val="right"/>
              <w:ind w:right="331"/>
              <w:spacing w:after="0"/>
              <w:rPr>
                <w:sz w:val="20"/>
                <w:szCs w:val="20"/>
                <w:color w:val="auto"/>
              </w:rPr>
            </w:pPr>
            <w:r>
              <w:rPr>
                <w:rFonts w:ascii="Arial" w:cs="Arial" w:eastAsia="Arial" w:hAnsi="Arial"/>
                <w:sz w:val="14"/>
                <w:szCs w:val="14"/>
                <w:color w:val="auto"/>
                <w:w w:val="89"/>
              </w:rPr>
              <w:t>11</w:t>
            </w:r>
          </w:p>
        </w:tc>
        <w:tc>
          <w:tcPr>
            <w:tcW w:w="6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380" w:type="dxa"/>
            <w:vAlign w:val="bottom"/>
          </w:tcPr>
          <w:p>
            <w:pPr>
              <w:spacing w:after="0"/>
              <w:rPr>
                <w:sz w:val="24"/>
                <w:szCs w:val="24"/>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2"/>
                <w:szCs w:val="12"/>
                <w:color w:val="auto"/>
                <w:w w:val="74"/>
              </w:rPr>
              <w:t>10</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9</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4"/>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8</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7</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6</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4"/>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5</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4</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3</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2</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4"/>
        </w:trPr>
        <w:tc>
          <w:tcPr>
            <w:tcW w:w="560" w:type="dxa"/>
            <w:vAlign w:val="bottom"/>
          </w:tcPr>
          <w:p>
            <w:pPr>
              <w:jc w:val="right"/>
              <w:ind w:right="331"/>
              <w:spacing w:after="0"/>
              <w:rPr>
                <w:sz w:val="20"/>
                <w:szCs w:val="20"/>
                <w:color w:val="auto"/>
              </w:rPr>
            </w:pPr>
            <w:r>
              <w:rPr>
                <w:rFonts w:ascii="Arial" w:cs="Arial" w:eastAsia="Arial" w:hAnsi="Arial"/>
                <w:sz w:val="14"/>
                <w:szCs w:val="14"/>
                <w:color w:val="auto"/>
              </w:rPr>
              <w:t>1</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63"/>
        </w:trPr>
        <w:tc>
          <w:tcPr>
            <w:tcW w:w="560" w:type="dxa"/>
            <w:vAlign w:val="bottom"/>
          </w:tcPr>
          <w:p>
            <w:pPr>
              <w:jc w:val="right"/>
              <w:ind w:right="371"/>
              <w:spacing w:after="0"/>
              <w:rPr>
                <w:sz w:val="20"/>
                <w:szCs w:val="20"/>
                <w:color w:val="auto"/>
              </w:rPr>
            </w:pPr>
            <w:r>
              <w:rPr>
                <w:rFonts w:ascii="Arial" w:cs="Arial" w:eastAsia="Arial" w:hAnsi="Arial"/>
                <w:sz w:val="14"/>
                <w:szCs w:val="14"/>
                <w:color w:val="auto"/>
              </w:rPr>
              <w:t>0</w:t>
            </w:r>
          </w:p>
        </w:tc>
        <w:tc>
          <w:tcPr>
            <w:tcW w:w="6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620" w:type="dxa"/>
            <w:vAlign w:val="bottom"/>
          </w:tcPr>
          <w:p>
            <w:pPr>
              <w:spacing w:after="0"/>
              <w:rPr>
                <w:sz w:val="22"/>
                <w:szCs w:val="22"/>
                <w:color w:val="auto"/>
              </w:rPr>
            </w:pPr>
          </w:p>
        </w:tc>
        <w:tc>
          <w:tcPr>
            <w:tcW w:w="380" w:type="dxa"/>
            <w:vAlign w:val="bottom"/>
          </w:tcPr>
          <w:p>
            <w:pPr>
              <w:spacing w:after="0"/>
              <w:rPr>
                <w:sz w:val="22"/>
                <w:szCs w:val="22"/>
                <w:color w:val="auto"/>
              </w:rPr>
            </w:pPr>
          </w:p>
        </w:tc>
      </w:tr>
      <w:tr>
        <w:trPr>
          <w:trHeight w:val="217"/>
        </w:trPr>
        <w:tc>
          <w:tcPr>
            <w:tcW w:w="560" w:type="dxa"/>
            <w:vAlign w:val="bottom"/>
          </w:tcPr>
          <w:p>
            <w:pPr>
              <w:jc w:val="right"/>
              <w:ind w:right="191"/>
              <w:spacing w:after="0"/>
              <w:rPr>
                <w:sz w:val="20"/>
                <w:szCs w:val="20"/>
                <w:color w:val="auto"/>
              </w:rPr>
            </w:pPr>
            <w:r>
              <w:rPr>
                <w:rFonts w:ascii="Arial" w:cs="Arial" w:eastAsia="Arial" w:hAnsi="Arial"/>
                <w:sz w:val="14"/>
                <w:szCs w:val="14"/>
                <w:color w:val="auto"/>
              </w:rPr>
              <w:t>0</w:t>
            </w:r>
          </w:p>
        </w:tc>
        <w:tc>
          <w:tcPr>
            <w:tcW w:w="640" w:type="dxa"/>
            <w:vAlign w:val="bottom"/>
          </w:tcPr>
          <w:p>
            <w:pPr>
              <w:jc w:val="right"/>
              <w:ind w:right="210"/>
              <w:spacing w:after="0"/>
              <w:rPr>
                <w:sz w:val="20"/>
                <w:szCs w:val="20"/>
                <w:color w:val="auto"/>
              </w:rPr>
            </w:pPr>
            <w:r>
              <w:rPr>
                <w:rFonts w:ascii="Arial" w:cs="Arial" w:eastAsia="Arial" w:hAnsi="Arial"/>
                <w:sz w:val="14"/>
                <w:szCs w:val="14"/>
                <w:color w:val="auto"/>
              </w:rPr>
              <w:t>2</w:t>
            </w:r>
          </w:p>
        </w:tc>
        <w:tc>
          <w:tcPr>
            <w:tcW w:w="540" w:type="dxa"/>
            <w:vAlign w:val="bottom"/>
          </w:tcPr>
          <w:p>
            <w:pPr>
              <w:jc w:val="right"/>
              <w:ind w:right="110"/>
              <w:spacing w:after="0"/>
              <w:rPr>
                <w:sz w:val="20"/>
                <w:szCs w:val="20"/>
                <w:color w:val="auto"/>
              </w:rPr>
            </w:pPr>
            <w:r>
              <w:rPr>
                <w:rFonts w:ascii="Arial" w:cs="Arial" w:eastAsia="Arial" w:hAnsi="Arial"/>
                <w:sz w:val="14"/>
                <w:szCs w:val="14"/>
                <w:color w:val="auto"/>
              </w:rPr>
              <w:t>4</w:t>
            </w:r>
          </w:p>
        </w:tc>
        <w:tc>
          <w:tcPr>
            <w:tcW w:w="720" w:type="dxa"/>
            <w:vAlign w:val="bottom"/>
          </w:tcPr>
          <w:p>
            <w:pPr>
              <w:jc w:val="right"/>
              <w:ind w:right="210"/>
              <w:spacing w:after="0"/>
              <w:rPr>
                <w:sz w:val="20"/>
                <w:szCs w:val="20"/>
                <w:color w:val="auto"/>
              </w:rPr>
            </w:pPr>
            <w:r>
              <w:rPr>
                <w:rFonts w:ascii="Arial" w:cs="Arial" w:eastAsia="Arial" w:hAnsi="Arial"/>
                <w:sz w:val="14"/>
                <w:szCs w:val="14"/>
                <w:color w:val="auto"/>
              </w:rPr>
              <w:t>6</w:t>
            </w:r>
          </w:p>
        </w:tc>
        <w:tc>
          <w:tcPr>
            <w:tcW w:w="620" w:type="dxa"/>
            <w:vAlign w:val="bottom"/>
          </w:tcPr>
          <w:p>
            <w:pPr>
              <w:jc w:val="right"/>
              <w:ind w:right="190"/>
              <w:spacing w:after="0"/>
              <w:rPr>
                <w:sz w:val="20"/>
                <w:szCs w:val="20"/>
                <w:color w:val="auto"/>
              </w:rPr>
            </w:pPr>
            <w:r>
              <w:rPr>
                <w:rFonts w:ascii="Arial" w:cs="Arial" w:eastAsia="Arial" w:hAnsi="Arial"/>
                <w:sz w:val="14"/>
                <w:szCs w:val="14"/>
                <w:color w:val="auto"/>
              </w:rPr>
              <w:t>8</w:t>
            </w:r>
          </w:p>
        </w:tc>
        <w:tc>
          <w:tcPr>
            <w:tcW w:w="380" w:type="dxa"/>
            <w:vAlign w:val="bottom"/>
          </w:tcPr>
          <w:p>
            <w:pPr>
              <w:jc w:val="right"/>
              <w:spacing w:after="0"/>
              <w:rPr>
                <w:sz w:val="20"/>
                <w:szCs w:val="20"/>
                <w:color w:val="auto"/>
              </w:rPr>
            </w:pPr>
            <w:r>
              <w:rPr>
                <w:rFonts w:ascii="Arial" w:cs="Arial" w:eastAsia="Arial" w:hAnsi="Arial"/>
                <w:sz w:val="14"/>
                <w:szCs w:val="14"/>
                <w:color w:val="auto"/>
              </w:rPr>
              <w:t>10</w:t>
            </w:r>
          </w:p>
        </w:tc>
      </w:tr>
      <w:tr>
        <w:trPr>
          <w:trHeight w:val="247"/>
        </w:trPr>
        <w:tc>
          <w:tcPr>
            <w:tcW w:w="56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720" w:type="dxa"/>
            <w:vAlign w:val="bottom"/>
          </w:tcPr>
          <w:p>
            <w:pPr>
              <w:jc w:val="right"/>
              <w:ind w:right="530"/>
              <w:spacing w:after="0"/>
              <w:rPr>
                <w:sz w:val="20"/>
                <w:szCs w:val="20"/>
                <w:color w:val="auto"/>
              </w:rPr>
            </w:pPr>
            <w:r>
              <w:rPr>
                <w:rFonts w:ascii="Arial" w:cs="Arial" w:eastAsia="Arial" w:hAnsi="Arial"/>
                <w:sz w:val="14"/>
                <w:szCs w:val="14"/>
                <w:color w:val="auto"/>
              </w:rPr>
              <w:t>P</w:t>
            </w:r>
          </w:p>
        </w:tc>
        <w:tc>
          <w:tcPr>
            <w:tcW w:w="620" w:type="dxa"/>
            <w:vAlign w:val="bottom"/>
          </w:tcPr>
          <w:p>
            <w:pPr>
              <w:spacing w:after="0"/>
              <w:rPr>
                <w:sz w:val="21"/>
                <w:szCs w:val="21"/>
                <w:color w:val="auto"/>
              </w:rPr>
            </w:pPr>
          </w:p>
        </w:tc>
        <w:tc>
          <w:tcPr>
            <w:tcW w:w="380" w:type="dxa"/>
            <w:vAlign w:val="bottom"/>
          </w:tcPr>
          <w:p>
            <w:pPr>
              <w:spacing w:after="0"/>
              <w:rPr>
                <w:sz w:val="21"/>
                <w:szCs w:val="2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280670</wp:posOffset>
            </wp:positionH>
            <wp:positionV relativeFrom="paragraph">
              <wp:posOffset>-2186305</wp:posOffset>
            </wp:positionV>
            <wp:extent cx="2297430" cy="18732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2297430" cy="1873250"/>
                    </a:xfrm>
                    <a:prstGeom prst="rect">
                      <a:avLst/>
                    </a:prstGeom>
                    <a:noFill/>
                  </pic:spPr>
                </pic:pic>
              </a:graphicData>
            </a:graphic>
          </wp:anchor>
        </w:drawing>
        <w:drawing>
          <wp:anchor simplePos="0" relativeHeight="251657728" behindDoc="1" locked="0" layoutInCell="0" allowOverlap="1">
            <wp:simplePos x="0" y="0"/>
            <wp:positionH relativeFrom="column">
              <wp:posOffset>280670</wp:posOffset>
            </wp:positionH>
            <wp:positionV relativeFrom="paragraph">
              <wp:posOffset>-1334770</wp:posOffset>
            </wp:positionV>
            <wp:extent cx="107950" cy="1473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07950" cy="1473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30"/>
        </w:trPr>
        <w:tc>
          <w:tcPr>
            <w:tcW w:w="7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60" w:type="dxa"/>
            <w:vAlign w:val="bottom"/>
          </w:tcPr>
          <w:p>
            <w:pPr>
              <w:jc w:val="right"/>
              <w:spacing w:after="0"/>
              <w:rPr>
                <w:sz w:val="20"/>
                <w:szCs w:val="20"/>
                <w:color w:val="auto"/>
              </w:rPr>
            </w:pPr>
            <w:r>
              <w:rPr>
                <w:rFonts w:ascii="Arial" w:cs="Arial" w:eastAsia="Arial" w:hAnsi="Arial"/>
                <w:sz w:val="17"/>
                <w:szCs w:val="17"/>
                <w:color w:val="auto"/>
              </w:rPr>
              <w:t>(b)</w:t>
            </w:r>
          </w:p>
        </w:tc>
        <w:tc>
          <w:tcPr>
            <w:tcW w:w="1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520" w:type="dxa"/>
            <w:vAlign w:val="bottom"/>
          </w:tcPr>
          <w:p>
            <w:pPr>
              <w:spacing w:after="0"/>
              <w:rPr>
                <w:sz w:val="20"/>
                <w:szCs w:val="20"/>
                <w:color w:val="auto"/>
              </w:rPr>
            </w:pPr>
          </w:p>
        </w:tc>
      </w:tr>
      <w:tr>
        <w:trPr>
          <w:trHeight w:val="574"/>
        </w:trPr>
        <w:tc>
          <w:tcPr>
            <w:tcW w:w="740" w:type="dxa"/>
            <w:vAlign w:val="bottom"/>
          </w:tcPr>
          <w:p>
            <w:pPr>
              <w:jc w:val="right"/>
              <w:ind w:right="155"/>
              <w:spacing w:after="0"/>
              <w:rPr>
                <w:sz w:val="20"/>
                <w:szCs w:val="20"/>
                <w:color w:val="auto"/>
              </w:rPr>
            </w:pPr>
            <w:r>
              <w:rPr>
                <w:rFonts w:ascii="Arial" w:cs="Arial" w:eastAsia="Arial" w:hAnsi="Arial"/>
                <w:sz w:val="17"/>
                <w:szCs w:val="17"/>
                <w:color w:val="auto"/>
              </w:rPr>
              <w:t>10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558"/>
        </w:trPr>
        <w:tc>
          <w:tcPr>
            <w:tcW w:w="740" w:type="dxa"/>
            <w:vAlign w:val="bottom"/>
          </w:tcPr>
          <w:p>
            <w:pPr>
              <w:jc w:val="right"/>
              <w:ind w:right="155"/>
              <w:spacing w:after="0"/>
              <w:rPr>
                <w:sz w:val="20"/>
                <w:szCs w:val="20"/>
                <w:color w:val="auto"/>
              </w:rPr>
            </w:pPr>
            <w:r>
              <w:rPr>
                <w:rFonts w:ascii="Arial" w:cs="Arial" w:eastAsia="Arial" w:hAnsi="Arial"/>
                <w:sz w:val="17"/>
                <w:szCs w:val="17"/>
                <w:color w:val="auto"/>
              </w:rPr>
              <w:t>8</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541"/>
        </w:trPr>
        <w:tc>
          <w:tcPr>
            <w:tcW w:w="740" w:type="dxa"/>
            <w:vAlign w:val="bottom"/>
          </w:tcPr>
          <w:p>
            <w:pPr>
              <w:jc w:val="right"/>
              <w:ind w:right="155"/>
              <w:spacing w:after="0"/>
              <w:rPr>
                <w:sz w:val="20"/>
                <w:szCs w:val="20"/>
                <w:color w:val="auto"/>
              </w:rPr>
            </w:pPr>
            <w:r>
              <w:rPr>
                <w:rFonts w:ascii="Arial" w:cs="Arial" w:eastAsia="Arial" w:hAnsi="Arial"/>
                <w:sz w:val="17"/>
                <w:szCs w:val="17"/>
                <w:color w:val="auto"/>
              </w:rPr>
              <w:t>6</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28"/>
        </w:trPr>
        <w:tc>
          <w:tcPr>
            <w:tcW w:w="740" w:type="dxa"/>
            <w:vAlign w:val="bottom"/>
            <w:textDirection w:val="btLr"/>
          </w:tcPr>
          <w:p>
            <w:pPr>
              <w:ind w:right="453"/>
              <w:spacing w:after="0"/>
              <w:rPr>
                <w:sz w:val="20"/>
                <w:szCs w:val="20"/>
                <w:color w:val="auto"/>
              </w:rPr>
            </w:pPr>
            <w:r>
              <w:rPr>
                <w:rFonts w:ascii="Arial" w:cs="Arial" w:eastAsia="Arial" w:hAnsi="Arial"/>
                <w:sz w:val="17"/>
                <w:szCs w:val="17"/>
                <w:color w:val="auto"/>
              </w:rPr>
              <w:t>P</w:t>
            </w: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520" w:type="dxa"/>
            <w:vAlign w:val="bottom"/>
          </w:tcPr>
          <w:p>
            <w:pPr>
              <w:spacing w:after="0"/>
              <w:rPr>
                <w:sz w:val="19"/>
                <w:szCs w:val="19"/>
                <w:color w:val="auto"/>
              </w:rPr>
            </w:pPr>
          </w:p>
        </w:tc>
      </w:tr>
      <w:tr>
        <w:trPr>
          <w:trHeight w:val="330"/>
        </w:trPr>
        <w:tc>
          <w:tcPr>
            <w:tcW w:w="740" w:type="dxa"/>
            <w:vAlign w:val="bottom"/>
          </w:tcPr>
          <w:p>
            <w:pPr>
              <w:jc w:val="right"/>
              <w:ind w:right="155"/>
              <w:spacing w:after="0"/>
              <w:rPr>
                <w:sz w:val="20"/>
                <w:szCs w:val="20"/>
                <w:color w:val="auto"/>
              </w:rPr>
            </w:pPr>
            <w:r>
              <w:rPr>
                <w:rFonts w:ascii="Arial" w:cs="Arial" w:eastAsia="Arial" w:hAnsi="Arial"/>
                <w:sz w:val="17"/>
                <w:szCs w:val="17"/>
                <w:color w:val="auto"/>
              </w:rPr>
              <w:t>4</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542"/>
        </w:trPr>
        <w:tc>
          <w:tcPr>
            <w:tcW w:w="740" w:type="dxa"/>
            <w:vAlign w:val="bottom"/>
          </w:tcPr>
          <w:p>
            <w:pPr>
              <w:jc w:val="right"/>
              <w:ind w:right="155"/>
              <w:spacing w:after="0"/>
              <w:rPr>
                <w:sz w:val="20"/>
                <w:szCs w:val="20"/>
                <w:color w:val="auto"/>
              </w:rPr>
            </w:pPr>
            <w:r>
              <w:rPr>
                <w:rFonts w:ascii="Arial" w:cs="Arial" w:eastAsia="Arial" w:hAnsi="Arial"/>
                <w:sz w:val="17"/>
                <w:szCs w:val="17"/>
                <w:color w:val="auto"/>
              </w:rPr>
              <w:t>2</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558"/>
        </w:trPr>
        <w:tc>
          <w:tcPr>
            <w:tcW w:w="740" w:type="dxa"/>
            <w:vAlign w:val="bottom"/>
          </w:tcPr>
          <w:p>
            <w:pPr>
              <w:jc w:val="right"/>
              <w:ind w:right="155"/>
              <w:spacing w:after="0"/>
              <w:rPr>
                <w:sz w:val="20"/>
                <w:szCs w:val="20"/>
                <w:color w:val="auto"/>
              </w:rPr>
            </w:pPr>
            <w:r>
              <w:rPr>
                <w:rFonts w:ascii="Arial" w:cs="Arial" w:eastAsia="Arial" w:hAnsi="Arial"/>
                <w:sz w:val="17"/>
                <w:szCs w:val="17"/>
                <w:color w:val="auto"/>
              </w:rPr>
              <w:t>0</w:t>
            </w: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r>
        <w:trPr>
          <w:trHeight w:val="248"/>
        </w:trPr>
        <w:tc>
          <w:tcPr>
            <w:tcW w:w="740" w:type="dxa"/>
            <w:vAlign w:val="bottom"/>
          </w:tcPr>
          <w:p>
            <w:pPr>
              <w:jc w:val="right"/>
              <w:spacing w:after="0"/>
              <w:rPr>
                <w:sz w:val="20"/>
                <w:szCs w:val="20"/>
                <w:color w:val="auto"/>
              </w:rPr>
            </w:pPr>
            <w:r>
              <w:rPr>
                <w:rFonts w:ascii="Arial" w:cs="Arial" w:eastAsia="Arial" w:hAnsi="Arial"/>
                <w:sz w:val="17"/>
                <w:szCs w:val="17"/>
                <w:color w:val="auto"/>
              </w:rPr>
              <w:t>0</w:t>
            </w:r>
          </w:p>
        </w:tc>
        <w:tc>
          <w:tcPr>
            <w:tcW w:w="280" w:type="dxa"/>
            <w:vAlign w:val="bottom"/>
          </w:tcPr>
          <w:p>
            <w:pPr>
              <w:jc w:val="right"/>
              <w:ind w:right="15"/>
              <w:spacing w:after="0"/>
              <w:rPr>
                <w:sz w:val="20"/>
                <w:szCs w:val="20"/>
                <w:color w:val="auto"/>
              </w:rPr>
            </w:pPr>
            <w:r>
              <w:rPr>
                <w:rFonts w:ascii="Arial" w:cs="Arial" w:eastAsia="Arial" w:hAnsi="Arial"/>
                <w:sz w:val="17"/>
                <w:szCs w:val="17"/>
                <w:color w:val="auto"/>
              </w:rPr>
              <w:t>1</w:t>
            </w:r>
          </w:p>
        </w:tc>
        <w:tc>
          <w:tcPr>
            <w:tcW w:w="280" w:type="dxa"/>
            <w:vAlign w:val="bottom"/>
          </w:tcPr>
          <w:p>
            <w:pPr>
              <w:jc w:val="right"/>
              <w:ind w:right="15"/>
              <w:spacing w:after="0"/>
              <w:rPr>
                <w:sz w:val="20"/>
                <w:szCs w:val="20"/>
                <w:color w:val="auto"/>
              </w:rPr>
            </w:pPr>
            <w:r>
              <w:rPr>
                <w:rFonts w:ascii="Arial" w:cs="Arial" w:eastAsia="Arial" w:hAnsi="Arial"/>
                <w:sz w:val="17"/>
                <w:szCs w:val="17"/>
                <w:color w:val="auto"/>
              </w:rPr>
              <w:t>2</w:t>
            </w:r>
          </w:p>
        </w:tc>
        <w:tc>
          <w:tcPr>
            <w:tcW w:w="260" w:type="dxa"/>
            <w:vAlign w:val="bottom"/>
          </w:tcPr>
          <w:p>
            <w:pPr>
              <w:jc w:val="right"/>
              <w:spacing w:after="0"/>
              <w:rPr>
                <w:sz w:val="20"/>
                <w:szCs w:val="20"/>
                <w:color w:val="auto"/>
              </w:rPr>
            </w:pPr>
            <w:r>
              <w:rPr>
                <w:rFonts w:ascii="Arial" w:cs="Arial" w:eastAsia="Arial" w:hAnsi="Arial"/>
                <w:sz w:val="17"/>
                <w:szCs w:val="17"/>
                <w:color w:val="auto"/>
              </w:rPr>
              <w:t>3</w:t>
            </w:r>
          </w:p>
        </w:tc>
        <w:tc>
          <w:tcPr>
            <w:tcW w:w="360" w:type="dxa"/>
            <w:vAlign w:val="bottom"/>
          </w:tcPr>
          <w:p>
            <w:pPr>
              <w:jc w:val="right"/>
              <w:ind w:right="95"/>
              <w:spacing w:after="0"/>
              <w:rPr>
                <w:sz w:val="20"/>
                <w:szCs w:val="20"/>
                <w:color w:val="auto"/>
              </w:rPr>
            </w:pPr>
            <w:r>
              <w:rPr>
                <w:rFonts w:ascii="Arial" w:cs="Arial" w:eastAsia="Arial" w:hAnsi="Arial"/>
                <w:sz w:val="17"/>
                <w:szCs w:val="17"/>
                <w:color w:val="auto"/>
              </w:rPr>
              <w:t>4</w:t>
            </w:r>
          </w:p>
        </w:tc>
        <w:tc>
          <w:tcPr>
            <w:tcW w:w="180" w:type="dxa"/>
            <w:vAlign w:val="bottom"/>
          </w:tcPr>
          <w:p>
            <w:pPr>
              <w:jc w:val="right"/>
              <w:spacing w:after="0"/>
              <w:rPr>
                <w:sz w:val="20"/>
                <w:szCs w:val="20"/>
                <w:color w:val="auto"/>
              </w:rPr>
            </w:pPr>
            <w:r>
              <w:rPr>
                <w:rFonts w:ascii="Arial" w:cs="Arial" w:eastAsia="Arial" w:hAnsi="Arial"/>
                <w:sz w:val="17"/>
                <w:szCs w:val="17"/>
                <w:color w:val="auto"/>
                <w:w w:val="84"/>
              </w:rPr>
              <w:t>5</w:t>
            </w:r>
          </w:p>
        </w:tc>
        <w:tc>
          <w:tcPr>
            <w:tcW w:w="280" w:type="dxa"/>
            <w:vAlign w:val="bottom"/>
          </w:tcPr>
          <w:p>
            <w:pPr>
              <w:jc w:val="right"/>
              <w:ind w:right="15"/>
              <w:spacing w:after="0"/>
              <w:rPr>
                <w:sz w:val="20"/>
                <w:szCs w:val="20"/>
                <w:color w:val="auto"/>
              </w:rPr>
            </w:pPr>
            <w:r>
              <w:rPr>
                <w:rFonts w:ascii="Arial" w:cs="Arial" w:eastAsia="Arial" w:hAnsi="Arial"/>
                <w:sz w:val="17"/>
                <w:szCs w:val="17"/>
                <w:color w:val="auto"/>
              </w:rPr>
              <w:t>6</w:t>
            </w:r>
          </w:p>
        </w:tc>
        <w:tc>
          <w:tcPr>
            <w:tcW w:w="260" w:type="dxa"/>
            <w:vAlign w:val="bottom"/>
          </w:tcPr>
          <w:p>
            <w:pPr>
              <w:jc w:val="right"/>
              <w:spacing w:after="0"/>
              <w:rPr>
                <w:sz w:val="20"/>
                <w:szCs w:val="20"/>
                <w:color w:val="auto"/>
              </w:rPr>
            </w:pPr>
            <w:r>
              <w:rPr>
                <w:rFonts w:ascii="Arial" w:cs="Arial" w:eastAsia="Arial" w:hAnsi="Arial"/>
                <w:sz w:val="17"/>
                <w:szCs w:val="17"/>
                <w:color w:val="auto"/>
              </w:rPr>
              <w:t>7</w:t>
            </w:r>
          </w:p>
        </w:tc>
        <w:tc>
          <w:tcPr>
            <w:tcW w:w="260" w:type="dxa"/>
            <w:vAlign w:val="bottom"/>
          </w:tcPr>
          <w:p>
            <w:pPr>
              <w:jc w:val="right"/>
              <w:spacing w:after="0"/>
              <w:rPr>
                <w:sz w:val="20"/>
                <w:szCs w:val="20"/>
                <w:color w:val="auto"/>
              </w:rPr>
            </w:pPr>
            <w:r>
              <w:rPr>
                <w:rFonts w:ascii="Arial" w:cs="Arial" w:eastAsia="Arial" w:hAnsi="Arial"/>
                <w:sz w:val="17"/>
                <w:szCs w:val="17"/>
                <w:color w:val="auto"/>
              </w:rPr>
              <w:t>8</w:t>
            </w:r>
          </w:p>
        </w:tc>
        <w:tc>
          <w:tcPr>
            <w:tcW w:w="260" w:type="dxa"/>
            <w:vAlign w:val="bottom"/>
          </w:tcPr>
          <w:p>
            <w:pPr>
              <w:jc w:val="right"/>
              <w:spacing w:after="0"/>
              <w:rPr>
                <w:sz w:val="20"/>
                <w:szCs w:val="20"/>
                <w:color w:val="auto"/>
              </w:rPr>
            </w:pPr>
            <w:r>
              <w:rPr>
                <w:rFonts w:ascii="Arial" w:cs="Arial" w:eastAsia="Arial" w:hAnsi="Arial"/>
                <w:sz w:val="17"/>
                <w:szCs w:val="17"/>
                <w:color w:val="auto"/>
              </w:rPr>
              <w:t>9</w:t>
            </w:r>
          </w:p>
        </w:tc>
        <w:tc>
          <w:tcPr>
            <w:tcW w:w="520" w:type="dxa"/>
            <w:vAlign w:val="bottom"/>
          </w:tcPr>
          <w:p>
            <w:pPr>
              <w:jc w:val="right"/>
              <w:spacing w:after="0"/>
              <w:rPr>
                <w:sz w:val="20"/>
                <w:szCs w:val="20"/>
                <w:color w:val="auto"/>
              </w:rPr>
            </w:pPr>
            <w:r>
              <w:rPr>
                <w:rFonts w:ascii="Arial" w:cs="Arial" w:eastAsia="Arial" w:hAnsi="Arial"/>
                <w:sz w:val="17"/>
                <w:szCs w:val="17"/>
                <w:color w:val="auto"/>
              </w:rPr>
              <w:t>10 11</w:t>
            </w:r>
          </w:p>
        </w:tc>
      </w:tr>
      <w:tr>
        <w:trPr>
          <w:trHeight w:val="325"/>
        </w:trPr>
        <w:tc>
          <w:tcPr>
            <w:tcW w:w="7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60" w:type="dxa"/>
            <w:vAlign w:val="bottom"/>
            <w:gridSpan w:val="2"/>
          </w:tcPr>
          <w:p>
            <w:pPr>
              <w:jc w:val="right"/>
              <w:ind w:right="55"/>
              <w:spacing w:after="0"/>
              <w:rPr>
                <w:sz w:val="20"/>
                <w:szCs w:val="20"/>
                <w:color w:val="auto"/>
              </w:rPr>
            </w:pPr>
            <w:r>
              <w:rPr>
                <w:rFonts w:ascii="Arial" w:cs="Arial" w:eastAsia="Arial" w:hAnsi="Arial"/>
                <w:sz w:val="17"/>
                <w:szCs w:val="17"/>
                <w:color w:val="auto"/>
              </w:rPr>
              <w:t>L/G</w:t>
            </w: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5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360045</wp:posOffset>
            </wp:positionH>
            <wp:positionV relativeFrom="paragraph">
              <wp:posOffset>-2181860</wp:posOffset>
            </wp:positionV>
            <wp:extent cx="1927225" cy="1785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extLst>
                    </a:blip>
                    <a:srcRect/>
                    <a:stretch>
                      <a:fillRect/>
                    </a:stretch>
                  </pic:blipFill>
                  <pic:spPr bwMode="auto">
                    <a:xfrm>
                      <a:off x="0" y="0"/>
                      <a:ext cx="1927225" cy="1785620"/>
                    </a:xfrm>
                    <a:prstGeom prst="rect">
                      <a:avLst/>
                    </a:prstGeom>
                    <a:noFill/>
                  </pic:spPr>
                </pic:pic>
              </a:graphicData>
            </a:graphic>
          </wp:anchor>
        </w:drawing>
      </w:r>
    </w:p>
    <w:p>
      <w:pPr>
        <w:spacing w:after="0" w:line="200" w:lineRule="exact"/>
        <w:rPr>
          <w:sz w:val="20"/>
          <w:szCs w:val="20"/>
          <w:color w:val="auto"/>
        </w:rPr>
      </w:pPr>
    </w:p>
    <w:p>
      <w:pPr>
        <w:sectPr>
          <w:pgSz w:w="11900" w:h="16840" w:orient="portrait"/>
          <w:cols w:equalWidth="0" w:num="2">
            <w:col w:w="4160" w:space="720"/>
            <w:col w:w="4460"/>
          </w:cols>
          <w:pgMar w:left="1440" w:top="835" w:right="1120" w:bottom="52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440" w:firstLine="283"/>
        <w:spacing w:after="0" w:line="367" w:lineRule="auto"/>
        <w:rPr>
          <w:sz w:val="20"/>
          <w:szCs w:val="20"/>
          <w:color w:val="auto"/>
        </w:rPr>
      </w:pPr>
      <w:r>
        <w:rPr>
          <w:rFonts w:ascii="Times New Roman" w:cs="Times New Roman" w:eastAsia="Times New Roman" w:hAnsi="Times New Roman"/>
          <w:sz w:val="24"/>
          <w:szCs w:val="24"/>
          <w:color w:val="auto"/>
        </w:rPr>
        <w:t>Weiterhin erkennt Coleman, dass neben dem Verhältnis L/G auch die absoluten Größen von L und G einen direkten Einfluss auf das angestrebte Vertrauensniveau haben, womit er (auch wenn er es nicht so benennt) den Sachverhalt der Risikoaversion anspricht. Diese Bedingung lässt sich nun aber weniger leicht in das einfache Grundmodell integrieren. Coleman argumen-tiert hier, dass mit steigenden Beträgen von L und G (bei L/G=const.) die Motivation beim Individuum steigt, sich zusätzliche Informationen zu beschaffen, wobei das angestrebte Ziel darin besteht, sich möglichst weit von der Bedingung der Indifferenz zu entfernen. Anders formuliert bedeutet dies, dass das Individuum durch systematische Informationssammlung hinsichtlich der Vertrauenswürdigkeit p versucht, den Wert p gegen 1 oder gegen 0 zu ver-ändern. Die Motivation dazu wird allerdings ihrerseits begrenzt durch die Kosten der Informa-tionsbeschaffung.</w:t>
      </w:r>
    </w:p>
    <w:p>
      <w:pPr>
        <w:spacing w:after="0" w:line="47" w:lineRule="exact"/>
        <w:rPr>
          <w:sz w:val="20"/>
          <w:szCs w:val="20"/>
          <w:color w:val="auto"/>
        </w:rPr>
      </w:pPr>
    </w:p>
    <w:p>
      <w:pPr>
        <w:jc w:val="both"/>
        <w:ind w:left="440" w:firstLine="283"/>
        <w:spacing w:after="0" w:line="387" w:lineRule="auto"/>
        <w:rPr>
          <w:sz w:val="20"/>
          <w:szCs w:val="20"/>
          <w:color w:val="auto"/>
        </w:rPr>
      </w:pPr>
      <w:r>
        <w:rPr>
          <w:rFonts w:ascii="Times New Roman" w:cs="Times New Roman" w:eastAsia="Times New Roman" w:hAnsi="Times New Roman"/>
          <w:sz w:val="23"/>
          <w:szCs w:val="23"/>
          <w:color w:val="auto"/>
        </w:rPr>
        <w:t>Versuchen wir nun das vorgestellte Modell auf die Situation der Akzeptanz von neuen Technologien und ihren Anwendungen zu übertragen. Kunreuther/Easterling (1989) argumen-tieren, dass bei einem hohen Ausmaß an Unsicherheit bezüglich eines Risikos, die Individuen maßgeblich auf die Vertrauenswürdigkeit der verantwortlichen Institutionen angewiesen sind. So vertritt auch Renn (1984: 282) im Zusammenhang mit Einstellungen zur Kernenergie die Ansicht: "Nicht mehr der Inhalt [der Informationen] ist der Maßstab für die kognitive Urteils-bildung, sondern die Wahrnehmung der sozialen Situation bei der Informationsübertragung und</w:t>
      </w:r>
    </w:p>
    <w:p>
      <w:pPr>
        <w:sectPr>
          <w:pgSz w:w="11900" w:h="16840" w:orient="portrait"/>
          <w:cols w:equalWidth="0" w:num="1">
            <w:col w:w="9340"/>
          </w:cols>
          <w:pgMar w:left="1440" w:top="835" w:right="1120" w:bottom="528" w:gutter="0" w:footer="0" w:header="0"/>
          <w:type w:val="continuous"/>
        </w:sectPr>
      </w:pPr>
    </w:p>
    <w:bookmarkStart w:id="5" w:name="page6"/>
    <w:bookmarkEnd w:id="5"/>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4</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95" w:lineRule="auto"/>
        <w:rPr>
          <w:sz w:val="20"/>
          <w:szCs w:val="20"/>
          <w:color w:val="auto"/>
        </w:rPr>
      </w:pPr>
      <w:r>
        <w:rPr>
          <w:rFonts w:ascii="Times New Roman" w:cs="Times New Roman" w:eastAsia="Times New Roman" w:hAnsi="Times New Roman"/>
          <w:sz w:val="24"/>
          <w:szCs w:val="24"/>
          <w:color w:val="auto"/>
        </w:rPr>
        <w:t>die Einschätzung der Informationsquellen." Zentral ist, dass die Einstellungen "... nur in gerin-gem Maße auf eigener Erfahrung aufbauen, [...]" (ebenda: 282)</w:t>
      </w:r>
    </w:p>
    <w:p>
      <w:pPr>
        <w:spacing w:after="0" w:line="263" w:lineRule="exact"/>
        <w:rPr>
          <w:sz w:val="20"/>
          <w:szCs w:val="20"/>
          <w:color w:val="auto"/>
        </w:rPr>
      </w:pPr>
    </w:p>
    <w:p>
      <w:pPr>
        <w:jc w:val="both"/>
        <w:ind w:left="440" w:firstLine="283"/>
        <w:spacing w:after="0" w:line="374" w:lineRule="auto"/>
        <w:rPr>
          <w:sz w:val="20"/>
          <w:szCs w:val="20"/>
          <w:color w:val="auto"/>
        </w:rPr>
      </w:pPr>
      <w:r>
        <w:rPr>
          <w:rFonts w:ascii="Times New Roman" w:cs="Times New Roman" w:eastAsia="Times New Roman" w:hAnsi="Times New Roman"/>
          <w:sz w:val="24"/>
          <w:szCs w:val="24"/>
          <w:color w:val="auto"/>
        </w:rPr>
        <w:t>Diese Kennzeichnung trifft sicherlich ebenso gut auf die Akzeptanz der Gentechnik und ihrer Anwendungen zu (vgl. Frewer et al. 1996). Auch dort müssen Personen ihre Urteile im Wesentlichen auf indirekten Indikatoren wie Vertrauen aufbauen. Sie müssen entscheiden, welchen Informationen von wem sie Glauben schenken wollen.</w:t>
      </w:r>
    </w:p>
    <w:p>
      <w:pPr>
        <w:spacing w:after="0" w:line="38" w:lineRule="exact"/>
        <w:rPr>
          <w:sz w:val="20"/>
          <w:szCs w:val="20"/>
          <w:color w:val="auto"/>
        </w:rPr>
      </w:pPr>
    </w:p>
    <w:p>
      <w:pPr>
        <w:jc w:val="both"/>
        <w:ind w:left="440" w:firstLine="283"/>
        <w:spacing w:after="0" w:line="394" w:lineRule="auto"/>
        <w:rPr>
          <w:sz w:val="20"/>
          <w:szCs w:val="20"/>
          <w:color w:val="auto"/>
        </w:rPr>
      </w:pPr>
      <w:r>
        <w:rPr>
          <w:rFonts w:ascii="Times New Roman" w:cs="Times New Roman" w:eastAsia="Times New Roman" w:hAnsi="Times New Roman"/>
          <w:sz w:val="23"/>
          <w:szCs w:val="23"/>
          <w:color w:val="auto"/>
        </w:rPr>
        <w:t>Wenn die Gentechnik und ihre Anwendungen als riskant wahrgenommen werden, dann hängt deren Akzeptanz zum einen natürlich von der Relation der erwarteten Vorteile und Risiken ab, doch wird die Akzeptanz ebenso maßgeblich vom Vertrauen in die anwendenden und kontrollierenden Unternehmungen, Organisationen und Institutionen bestimmt.</w:t>
      </w:r>
    </w:p>
    <w:p>
      <w:pPr>
        <w:spacing w:after="0" w:line="21" w:lineRule="exact"/>
        <w:rPr>
          <w:sz w:val="20"/>
          <w:szCs w:val="20"/>
          <w:color w:val="auto"/>
        </w:rPr>
      </w:pPr>
    </w:p>
    <w:p>
      <w:pPr>
        <w:jc w:val="both"/>
        <w:ind w:left="440" w:firstLine="283"/>
        <w:spacing w:after="0" w:line="374" w:lineRule="auto"/>
        <w:rPr>
          <w:sz w:val="20"/>
          <w:szCs w:val="20"/>
          <w:color w:val="auto"/>
        </w:rPr>
      </w:pPr>
      <w:r>
        <w:rPr>
          <w:rFonts w:ascii="Times New Roman" w:cs="Times New Roman" w:eastAsia="Times New Roman" w:hAnsi="Times New Roman"/>
          <w:sz w:val="24"/>
          <w:szCs w:val="24"/>
          <w:color w:val="auto"/>
        </w:rPr>
        <w:t>Besonders dann, wenn die wahrgenommenen Vorteile vergleichsweise gering sind, kommt dem Vertrauen eine entscheidende Rolle zu (vgl. Abbildung 1). Dann kann gelten, dass bei hohem Vertrauen die Risiken (egal in welcher Höhe) kaum noch bedeutsam sind und umge-kehrt die Vorteile bei geringem Vertrauen kaum Entscheidungsrelevanz besitzen.</w:t>
      </w:r>
    </w:p>
    <w:p>
      <w:pPr>
        <w:spacing w:after="0" w:line="38" w:lineRule="exact"/>
        <w:rPr>
          <w:sz w:val="20"/>
          <w:szCs w:val="20"/>
          <w:color w:val="auto"/>
        </w:rPr>
      </w:pPr>
    </w:p>
    <w:p>
      <w:pPr>
        <w:jc w:val="both"/>
        <w:ind w:left="440" w:firstLine="283"/>
        <w:spacing w:after="0" w:line="358" w:lineRule="auto"/>
        <w:rPr>
          <w:sz w:val="20"/>
          <w:szCs w:val="20"/>
          <w:color w:val="auto"/>
        </w:rPr>
      </w:pPr>
      <w:r>
        <w:rPr>
          <w:rFonts w:ascii="Times New Roman" w:cs="Times New Roman" w:eastAsia="Times New Roman" w:hAnsi="Times New Roman"/>
          <w:sz w:val="24"/>
          <w:szCs w:val="24"/>
          <w:color w:val="auto"/>
        </w:rPr>
        <w:t>Zu fragen ist allerdings, ob eine gesonderte Berücksichtigung von Vertrauen im Erklärungs-modell theoretisch erforderlich ist, oder ob sich das Ausmaß des Vertrauens nicht bereits in den Wahrscheinlichkeiten bezüglich der Gewinne und der Verluste widerspiegelt. Denn bei der Bedingung pG &gt; (1-p)L handelt es sich ja um potentielle Gewinne und Verluste, also ausführ-lich um: 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p</w:t>
      </w:r>
      <w:r>
        <w:rPr>
          <w:rFonts w:ascii="Times New Roman" w:cs="Times New Roman" w:eastAsia="Times New Roman" w:hAnsi="Times New Roman"/>
          <w:sz w:val="28"/>
          <w:szCs w:val="28"/>
          <w:color w:val="auto"/>
          <w:vertAlign w:val="subscript"/>
        </w:rPr>
        <w:t>G</w:t>
      </w:r>
      <w:r>
        <w:rPr>
          <w:rFonts w:ascii="Times New Roman" w:cs="Times New Roman" w:eastAsia="Times New Roman" w:hAnsi="Times New Roman"/>
          <w:sz w:val="24"/>
          <w:szCs w:val="24"/>
          <w:color w:val="auto"/>
        </w:rPr>
        <w:t>G &gt; (1-p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 p</w:t>
      </w:r>
      <w:r>
        <w:rPr>
          <w:rFonts w:ascii="Times New Roman" w:cs="Times New Roman" w:eastAsia="Times New Roman" w:hAnsi="Times New Roman"/>
          <w:sz w:val="28"/>
          <w:szCs w:val="28"/>
          <w:color w:val="auto"/>
          <w:vertAlign w:val="subscript"/>
        </w:rPr>
        <w:t>L</w:t>
      </w:r>
      <w:r>
        <w:rPr>
          <w:rFonts w:ascii="Times New Roman" w:cs="Times New Roman" w:eastAsia="Times New Roman" w:hAnsi="Times New Roman"/>
          <w:sz w:val="24"/>
          <w:szCs w:val="24"/>
          <w:color w:val="auto"/>
        </w:rPr>
        <w:t>L.</w:t>
      </w:r>
    </w:p>
    <w:p>
      <w:pPr>
        <w:spacing w:after="0" w:line="5" w:lineRule="exact"/>
        <w:rPr>
          <w:sz w:val="20"/>
          <w:szCs w:val="20"/>
          <w:color w:val="auto"/>
        </w:rPr>
      </w:pPr>
    </w:p>
    <w:p>
      <w:pPr>
        <w:jc w:val="both"/>
        <w:ind w:left="440" w:firstLine="283"/>
        <w:spacing w:after="0" w:line="367" w:lineRule="auto"/>
        <w:rPr>
          <w:sz w:val="20"/>
          <w:szCs w:val="20"/>
          <w:color w:val="auto"/>
        </w:rPr>
      </w:pPr>
      <w:r>
        <w:rPr>
          <w:rFonts w:ascii="Times New Roman" w:cs="Times New Roman" w:eastAsia="Times New Roman" w:hAnsi="Times New Roman"/>
          <w:sz w:val="24"/>
          <w:szCs w:val="24"/>
          <w:color w:val="auto"/>
        </w:rPr>
        <w:t>Alternativ dazu könnte man auch formulieren p</w:t>
      </w:r>
      <w:r>
        <w:rPr>
          <w:rFonts w:ascii="Times New Roman" w:cs="Times New Roman" w:eastAsia="Times New Roman" w:hAnsi="Times New Roman"/>
          <w:sz w:val="28"/>
          <w:szCs w:val="28"/>
          <w:color w:val="auto"/>
          <w:vertAlign w:val="subscript"/>
        </w:rPr>
        <w:t>G</w:t>
      </w:r>
      <w:r>
        <w:rPr>
          <w:rFonts w:ascii="Times New Roman" w:cs="Times New Roman" w:eastAsia="Times New Roman" w:hAnsi="Times New Roman"/>
          <w:sz w:val="24"/>
          <w:szCs w:val="24"/>
          <w:color w:val="auto"/>
        </w:rPr>
        <w:t>(p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)G &gt; p</w:t>
      </w:r>
      <w:r>
        <w:rPr>
          <w:rFonts w:ascii="Times New Roman" w:cs="Times New Roman" w:eastAsia="Times New Roman" w:hAnsi="Times New Roman"/>
          <w:sz w:val="28"/>
          <w:szCs w:val="28"/>
          <w:color w:val="auto"/>
          <w:vertAlign w:val="subscript"/>
        </w:rPr>
        <w:t>L</w:t>
      </w:r>
      <w:r>
        <w:rPr>
          <w:rFonts w:ascii="Times New Roman" w:cs="Times New Roman" w:eastAsia="Times New Roman" w:hAnsi="Times New Roman"/>
          <w:sz w:val="24"/>
          <w:szCs w:val="24"/>
          <w:color w:val="auto"/>
        </w:rPr>
        <w:t>[(1-p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 L , so dass die subjekti-ven Wahrscheinlichkeiten als eine Funktion des Vertrauens aufgefasst werden und der Einfluss des Vertrauens auf die Entscheidung lediglich indirekt wäre.</w:t>
      </w:r>
    </w:p>
    <w:p>
      <w:pPr>
        <w:spacing w:after="0" w:line="3" w:lineRule="exact"/>
        <w:rPr>
          <w:sz w:val="20"/>
          <w:szCs w:val="20"/>
          <w:color w:val="auto"/>
        </w:rPr>
      </w:pPr>
    </w:p>
    <w:p>
      <w:pPr>
        <w:jc w:val="both"/>
        <w:ind w:left="440" w:firstLine="283"/>
        <w:spacing w:after="0" w:line="343" w:lineRule="auto"/>
        <w:rPr>
          <w:sz w:val="20"/>
          <w:szCs w:val="20"/>
          <w:color w:val="auto"/>
        </w:rPr>
      </w:pPr>
      <w:r>
        <w:rPr>
          <w:rFonts w:ascii="Times New Roman" w:cs="Times New Roman" w:eastAsia="Times New Roman" w:hAnsi="Times New Roman"/>
          <w:sz w:val="24"/>
          <w:szCs w:val="24"/>
          <w:color w:val="auto"/>
        </w:rPr>
        <w:t>Ein direkter Einfluss von 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 xml:space="preserve"> unterstellt eine andere Situation, die vielleicht folgendermaßen beschrieben werden kann: Der Einsatz der Gentechnik ist mit bestimmten potentiellen Gewin-nen (p</w:t>
      </w:r>
      <w:r>
        <w:rPr>
          <w:rFonts w:ascii="Times New Roman" w:cs="Times New Roman" w:eastAsia="Times New Roman" w:hAnsi="Times New Roman"/>
          <w:sz w:val="28"/>
          <w:szCs w:val="28"/>
          <w:color w:val="auto"/>
          <w:vertAlign w:val="subscript"/>
        </w:rPr>
        <w:t>G</w:t>
      </w:r>
      <w:r>
        <w:rPr>
          <w:rFonts w:ascii="Times New Roman" w:cs="Times New Roman" w:eastAsia="Times New Roman" w:hAnsi="Times New Roman"/>
          <w:sz w:val="24"/>
          <w:szCs w:val="24"/>
          <w:color w:val="auto"/>
        </w:rPr>
        <w:t>G) und Verlusten ((1-p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)L) verbunden. In welchem Ausmaß diese jeweils eintreten, hängt aber von der Leistung der durchführenden Einheiten (p</w:t>
      </w:r>
      <w:r>
        <w:rPr>
          <w:rFonts w:ascii="Times New Roman" w:cs="Times New Roman" w:eastAsia="Times New Roman" w:hAnsi="Times New Roman"/>
          <w:sz w:val="28"/>
          <w:szCs w:val="28"/>
          <w:color w:val="auto"/>
          <w:vertAlign w:val="subscript"/>
        </w:rPr>
        <w:t>V</w:t>
      </w:r>
      <w:r>
        <w:rPr>
          <w:rFonts w:ascii="Times New Roman" w:cs="Times New Roman" w:eastAsia="Times New Roman" w:hAnsi="Times New Roman"/>
          <w:sz w:val="24"/>
          <w:szCs w:val="24"/>
          <w:color w:val="auto"/>
        </w:rPr>
        <w:t>) ab.</w:t>
      </w:r>
    </w:p>
    <w:p>
      <w:pPr>
        <w:spacing w:after="0" w:line="27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6"/>
          <w:szCs w:val="26"/>
          <w:b w:val="1"/>
          <w:bCs w:val="1"/>
          <w:color w:val="auto"/>
        </w:rPr>
        <w:t>3 Vertrauen als externes Konstrukt oder Heuristik</w:t>
      </w:r>
    </w:p>
    <w:p>
      <w:pPr>
        <w:spacing w:after="0" w:line="229" w:lineRule="exact"/>
        <w:rPr>
          <w:sz w:val="20"/>
          <w:szCs w:val="20"/>
          <w:color w:val="auto"/>
        </w:rPr>
      </w:pPr>
    </w:p>
    <w:p>
      <w:pPr>
        <w:jc w:val="both"/>
        <w:ind w:left="440"/>
        <w:spacing w:after="0" w:line="394" w:lineRule="auto"/>
        <w:rPr>
          <w:sz w:val="20"/>
          <w:szCs w:val="20"/>
          <w:color w:val="auto"/>
        </w:rPr>
      </w:pPr>
      <w:r>
        <w:rPr>
          <w:rFonts w:ascii="Times New Roman" w:cs="Times New Roman" w:eastAsia="Times New Roman" w:hAnsi="Times New Roman"/>
          <w:sz w:val="23"/>
          <w:szCs w:val="23"/>
          <w:color w:val="auto"/>
        </w:rPr>
        <w:t>Wenn es zutrifft, dass moderne Techniken sich der direkten Erfahrung der Individuen entziehen (zumal wenn noch keine Diffusion in das Alltagsleben erfolgte, wie dies bei der Gentechnik weitestgehend der Fall ist), ist die Frage zu stellen, inwieweit Personen überhaupt in der Lage sind, konsequenzenbezogene Urteile über potentielle Vorteile und Risiken abzugeben.</w:t>
      </w:r>
    </w:p>
    <w:p>
      <w:pPr>
        <w:sectPr>
          <w:pgSz w:w="11900" w:h="16840" w:orient="portrait"/>
          <w:cols w:equalWidth="0" w:num="1">
            <w:col w:w="9340"/>
          </w:cols>
          <w:pgMar w:left="1440" w:top="835" w:right="1120" w:bottom="337" w:gutter="0" w:footer="0" w:header="0"/>
        </w:sectPr>
      </w:pPr>
    </w:p>
    <w:bookmarkStart w:id="6" w:name="page7"/>
    <w:bookmarkEnd w:id="6"/>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5</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firstLine="283"/>
        <w:spacing w:after="0" w:line="385" w:lineRule="auto"/>
        <w:rPr>
          <w:sz w:val="20"/>
          <w:szCs w:val="20"/>
          <w:color w:val="auto"/>
        </w:rPr>
      </w:pPr>
      <w:r>
        <w:rPr>
          <w:rFonts w:ascii="Times New Roman" w:cs="Times New Roman" w:eastAsia="Times New Roman" w:hAnsi="Times New Roman"/>
          <w:sz w:val="23"/>
          <w:szCs w:val="23"/>
          <w:color w:val="auto"/>
        </w:rPr>
        <w:t>Möglich wird die Urteilsbildung in solchen Situationen deshalb, weil in ihnen keineswegs eine wie auch immer geartete Meinungslosigkeit zum bestimmenden Faktor der Bewertung wird. Individuen können ihre Bewertungen auch deduktiv aus kognitiven Relationsbeziehungen ableiten. Die Bedeutung solcher Prozesse deutet sich etwa in Untersuchungen an, in denen Einstellungen zu fiktiven Sachverhalten erhoben werden. Darin zeigt sich, dass die entspre-chenden Antworten keine Zufallsangaben der Befragten sind, sondern systematisch mit anderen Einstellungen korrelieren (Strack 1994). Die Befragten setzen offenbar in einem ersten Schritt den fiktiven Sachverhalt in Beziehung zu allgemeineren Orientierungen und übertragen dann deren Bewertungen auf den spezifischen fiktiven Sachverhalt.</w:t>
      </w:r>
    </w:p>
    <w:p>
      <w:pPr>
        <w:spacing w:after="0" w:line="34" w:lineRule="exact"/>
        <w:rPr>
          <w:sz w:val="20"/>
          <w:szCs w:val="20"/>
          <w:color w:val="auto"/>
        </w:rPr>
      </w:pPr>
    </w:p>
    <w:p>
      <w:pPr>
        <w:jc w:val="both"/>
        <w:ind w:left="440" w:firstLine="283"/>
        <w:spacing w:after="0" w:line="368" w:lineRule="auto"/>
        <w:rPr>
          <w:sz w:val="20"/>
          <w:szCs w:val="20"/>
          <w:color w:val="auto"/>
        </w:rPr>
      </w:pPr>
      <w:r>
        <w:rPr>
          <w:rFonts w:ascii="Times New Roman" w:cs="Times New Roman" w:eastAsia="Times New Roman" w:hAnsi="Times New Roman"/>
          <w:sz w:val="24"/>
          <w:szCs w:val="24"/>
          <w:color w:val="auto"/>
        </w:rPr>
        <w:t>Im Falle des Vertrauens können ganz ähnliche Prozesse der Urteilsbildung stattfinden. Fehlende Informationen, ein hoher Grad an Komplexität der Bewertungssituation oder auch erhebliche persönliche Unsicherheit über die Richtigkeit von Informationen können das Indivi-duum veranlassen, nicht den Weg einer belief-basierten Einstellungsbildung zu gehen, sondern 'externe' Beurteilungskriterien zur Einstellungsbildung heranzuziehen. Solche externen Beur-teilungskriterien stellen u.a. die Positionen von relevanten Bezugspersonen und -gruppen aber auch von Institutionen dar (zusammenfassend werden diese im Weiteren als externe Quellen bezeichnet).</w:t>
      </w:r>
    </w:p>
    <w:p>
      <w:pPr>
        <w:spacing w:after="0" w:line="48" w:lineRule="exact"/>
        <w:rPr>
          <w:sz w:val="20"/>
          <w:szCs w:val="20"/>
          <w:color w:val="auto"/>
        </w:rPr>
      </w:pPr>
    </w:p>
    <w:p>
      <w:pPr>
        <w:jc w:val="both"/>
        <w:ind w:left="440" w:firstLine="283"/>
        <w:spacing w:after="0" w:line="365" w:lineRule="auto"/>
        <w:rPr>
          <w:sz w:val="20"/>
          <w:szCs w:val="20"/>
          <w:color w:val="auto"/>
        </w:rPr>
      </w:pPr>
      <w:r>
        <w:rPr>
          <w:rFonts w:ascii="Times New Roman" w:cs="Times New Roman" w:eastAsia="Times New Roman" w:hAnsi="Times New Roman"/>
          <w:sz w:val="23"/>
          <w:szCs w:val="23"/>
          <w:color w:val="auto"/>
        </w:rPr>
        <w:t>Der Einfluss von externen Quellen auf die Einstellungsbildung des Individuums hängt im Wesentlichen von drei Faktoren ab: a) themenspezifische Relevanz, damit verbunden b) Kom-petenz und c) Vertrauenswürdigkeit. Die Parallelität zu peripheren/heuristischen Prozessen der Einstellungsbildung, wie sie im „elaboration likelihood model“ (ELM)</w:t>
      </w:r>
      <w:r>
        <w:rPr>
          <w:rFonts w:ascii="Times New Roman" w:cs="Times New Roman" w:eastAsia="Times New Roman" w:hAnsi="Times New Roman"/>
          <w:sz w:val="27"/>
          <w:szCs w:val="27"/>
          <w:color w:val="auto"/>
          <w:vertAlign w:val="superscript"/>
        </w:rPr>
        <w:t>7)</w:t>
      </w:r>
      <w:r>
        <w:rPr>
          <w:rFonts w:ascii="Times New Roman" w:cs="Times New Roman" w:eastAsia="Times New Roman" w:hAnsi="Times New Roman"/>
          <w:sz w:val="23"/>
          <w:szCs w:val="23"/>
          <w:color w:val="auto"/>
        </w:rPr>
        <w:t xml:space="preserve"> und im „heuristic-systematic model“ (HSM)</w:t>
      </w:r>
      <w:r>
        <w:rPr>
          <w:rFonts w:ascii="Times New Roman" w:cs="Times New Roman" w:eastAsia="Times New Roman" w:hAnsi="Times New Roman"/>
          <w:sz w:val="27"/>
          <w:szCs w:val="27"/>
          <w:color w:val="auto"/>
          <w:vertAlign w:val="superscript"/>
        </w:rPr>
        <w:t>8)</w:t>
      </w:r>
      <w:r>
        <w:rPr>
          <w:rFonts w:ascii="Times New Roman" w:cs="Times New Roman" w:eastAsia="Times New Roman" w:hAnsi="Times New Roman"/>
          <w:sz w:val="23"/>
          <w:szCs w:val="23"/>
          <w:color w:val="auto"/>
        </w:rPr>
        <w:t xml:space="preserve"> formuliert sind, ist offensichtlich: mangelnde Fähigkeit (oder auch Motivation) schließt eine systematische belief-basierte Einstellungsbildung aus, so dass auf periphere oder heuristische Hinweisreize zurückgegriffen wird.</w:t>
      </w:r>
    </w:p>
    <w:p>
      <w:pPr>
        <w:spacing w:after="0" w:line="59" w:lineRule="exact"/>
        <w:rPr>
          <w:sz w:val="20"/>
          <w:szCs w:val="20"/>
          <w:color w:val="auto"/>
        </w:rPr>
      </w:pPr>
    </w:p>
    <w:p>
      <w:pPr>
        <w:jc w:val="both"/>
        <w:ind w:left="440" w:firstLine="283"/>
        <w:spacing w:after="0" w:line="388" w:lineRule="auto"/>
        <w:rPr>
          <w:sz w:val="20"/>
          <w:szCs w:val="20"/>
          <w:color w:val="auto"/>
        </w:rPr>
      </w:pPr>
      <w:r>
        <w:rPr>
          <w:rFonts w:ascii="Times New Roman" w:cs="Times New Roman" w:eastAsia="Times New Roman" w:hAnsi="Times New Roman"/>
          <w:sz w:val="23"/>
          <w:szCs w:val="23"/>
          <w:color w:val="auto"/>
        </w:rPr>
        <w:t>Allerdings erfolgt nunmehr eine Spezifizierung dahingehend, dass die Anforderungen (a-c) an die externe Quelle formuliert werden und berücksichtigt werden soll, dass verschiedene externe Quellen gegeneinander in Konkurrenz treten können. Damit handelt es sich dann aber nicht mehr um einen rein peripheren Prozess der Einstellungsbildung, sondern um eine syste-matische Verarbeitung von Informationen '2. Ordnung', die allerdings das Vorhandensein von Motivation beim Individuum voraussetzt (was zumindest im Grundmodell des ELM nicht oder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115570</wp:posOffset>
                </wp:positionV>
                <wp:extent cx="18275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1pt" to="165.4pt,9.1pt" o:allowincell="f" strokecolor="#000000" strokeweight="0.9599pt"/>
            </w:pict>
          </mc:Fallback>
        </mc:AlternateContent>
      </w:r>
    </w:p>
    <w:p>
      <w:pPr>
        <w:spacing w:after="0" w:line="390" w:lineRule="exact"/>
        <w:rPr>
          <w:sz w:val="20"/>
          <w:szCs w:val="20"/>
          <w:color w:val="auto"/>
        </w:rPr>
      </w:pPr>
    </w:p>
    <w:p>
      <w:pPr>
        <w:ind w:left="880" w:hanging="449"/>
        <w:spacing w:after="0"/>
        <w:tabs>
          <w:tab w:leader="none" w:pos="8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Vgl. Petty/Cacioppo 1986; Eagly/Chaiken 1993: 305-325.</w:t>
      </w:r>
    </w:p>
    <w:p>
      <w:pPr>
        <w:spacing w:after="0" w:line="244" w:lineRule="exact"/>
        <w:rPr>
          <w:rFonts w:ascii="Times New Roman" w:cs="Times New Roman" w:eastAsia="Times New Roman" w:hAnsi="Times New Roman"/>
          <w:sz w:val="20"/>
          <w:szCs w:val="20"/>
          <w:color w:val="auto"/>
        </w:rPr>
      </w:pPr>
    </w:p>
    <w:p>
      <w:pPr>
        <w:ind w:left="880" w:hanging="449"/>
        <w:spacing w:after="0"/>
        <w:tabs>
          <w:tab w:leader="none" w:pos="880"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Vgl. Chaiken/Lieberman/Eagly 1989; Eagly/Chaiken 1993: 326-346; Chaiken/Maheswaran 1994.</w:t>
      </w:r>
    </w:p>
    <w:p>
      <w:pPr>
        <w:sectPr>
          <w:pgSz w:w="11900" w:h="16840" w:orient="portrait"/>
          <w:cols w:equalWidth="0" w:num="1">
            <w:col w:w="9340"/>
          </w:cols>
          <w:pgMar w:left="1440" w:top="835" w:right="1120" w:bottom="588" w:gutter="0" w:footer="0" w:header="0"/>
        </w:sectPr>
      </w:pPr>
    </w:p>
    <w:bookmarkStart w:id="7" w:name="page8"/>
    <w:bookmarkEnd w:id="7"/>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6</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nur implizit der Fall ist</w:t>
      </w:r>
      <w:r>
        <w:rPr>
          <w:rFonts w:ascii="Times New Roman" w:cs="Times New Roman" w:eastAsia="Times New Roman" w:hAnsi="Times New Roman"/>
          <w:sz w:val="28"/>
          <w:szCs w:val="28"/>
          <w:color w:val="auto"/>
          <w:vertAlign w:val="superscript"/>
        </w:rPr>
        <w:t>9)</w:t>
      </w:r>
      <w:r>
        <w:rPr>
          <w:rFonts w:ascii="Times New Roman" w:cs="Times New Roman" w:eastAsia="Times New Roman" w:hAnsi="Times New Roman"/>
          <w:sz w:val="24"/>
          <w:szCs w:val="24"/>
          <w:color w:val="auto"/>
        </w:rPr>
        <w:t>).</w:t>
      </w:r>
    </w:p>
    <w:p>
      <w:pPr>
        <w:spacing w:after="0" w:line="180" w:lineRule="exact"/>
        <w:rPr>
          <w:sz w:val="20"/>
          <w:szCs w:val="20"/>
          <w:color w:val="auto"/>
        </w:rPr>
      </w:pPr>
    </w:p>
    <w:p>
      <w:pPr>
        <w:jc w:val="both"/>
        <w:ind w:left="440" w:firstLine="283"/>
        <w:spacing w:after="0" w:line="369" w:lineRule="auto"/>
        <w:rPr>
          <w:sz w:val="20"/>
          <w:szCs w:val="20"/>
          <w:color w:val="auto"/>
        </w:rPr>
      </w:pPr>
      <w:r>
        <w:rPr>
          <w:rFonts w:ascii="Times New Roman" w:cs="Times New Roman" w:eastAsia="Times New Roman" w:hAnsi="Times New Roman"/>
          <w:sz w:val="24"/>
          <w:szCs w:val="24"/>
          <w:color w:val="auto"/>
        </w:rPr>
        <w:t>Eines der prominentesten Beispiele mit unmittelbarer Relevanz für die Diskussion von Vertrauen in externe Quellen zur Bildung von Einstellungen sind die Untersuchungen zum Einfluss der Expertise von Informationsquellen auf die Einstellungsbildung (Petty/Cacioppo 1986). Darin zeigte sich, dass bei Personen mit geringer Fähigkeit und/oder Motivation die Einstellungsbildung maßgeblich dadurch beeinflusst werden kann, dass die Informationsquelle als ExpertIn gelabelt wird. Die folgende Tabelle 1 kann zur Verdeutlichung der Argumentation dienen.</w:t>
      </w:r>
    </w:p>
    <w:p>
      <w:pPr>
        <w:spacing w:after="0" w:line="29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Tabelle 1: Kombinationen möglicher Prozessarten als Determinanten der Einstellungsbildung</w:t>
      </w:r>
    </w:p>
    <w:p>
      <w:pPr>
        <w:spacing w:after="0" w:line="231" w:lineRule="exact"/>
        <w:rPr>
          <w:sz w:val="20"/>
          <w:szCs w:val="20"/>
          <w:color w:val="auto"/>
        </w:rPr>
      </w:pPr>
    </w:p>
    <w:tbl>
      <w:tblPr>
        <w:tblLayout w:type="fixed"/>
        <w:tblInd w:w="1950" w:type="dxa"/>
        <w:tblCellMar>
          <w:top w:w="0" w:type="dxa"/>
          <w:left w:w="0" w:type="dxa"/>
          <w:bottom w:w="0" w:type="dxa"/>
          <w:right w:w="0" w:type="dxa"/>
        </w:tblCellMar>
      </w:tblPr>
      <w:tr>
        <w:trPr>
          <w:trHeight w:val="296"/>
        </w:trPr>
        <w:tc>
          <w:tcPr>
            <w:tcW w:w="1080" w:type="dxa"/>
            <w:vAlign w:val="bottom"/>
            <w:tcBorders>
              <w:bottom w:val="single" w:sz="8" w:color="auto"/>
              <w:right w:val="single" w:sz="8" w:color="auto"/>
            </w:tcBorders>
          </w:tcPr>
          <w:p>
            <w:pPr>
              <w:spacing w:after="0"/>
              <w:rPr>
                <w:sz w:val="24"/>
                <w:szCs w:val="24"/>
                <w:color w:val="auto"/>
              </w:rPr>
            </w:pPr>
          </w:p>
        </w:tc>
        <w:tc>
          <w:tcPr>
            <w:tcW w:w="4800" w:type="dxa"/>
            <w:vAlign w:val="bottom"/>
            <w:tcBorders>
              <w:top w:val="single" w:sz="8" w:color="auto"/>
              <w:bottom w:val="single" w:sz="8" w:color="auto"/>
              <w:right w:val="single" w:sz="8" w:color="auto"/>
            </w:tcBorders>
            <w:gridSpan w:val="2"/>
          </w:tcPr>
          <w:p>
            <w:pPr>
              <w:ind w:left="1940"/>
              <w:spacing w:after="0"/>
              <w:rPr>
                <w:sz w:val="20"/>
                <w:szCs w:val="20"/>
                <w:color w:val="auto"/>
              </w:rPr>
            </w:pPr>
            <w:r>
              <w:rPr>
                <w:rFonts w:ascii="Times New Roman" w:cs="Times New Roman" w:eastAsia="Times New Roman" w:hAnsi="Times New Roman"/>
                <w:sz w:val="20"/>
                <w:szCs w:val="20"/>
                <w:color w:val="auto"/>
              </w:rPr>
              <w:t>Motivation</w:t>
            </w:r>
          </w:p>
        </w:tc>
      </w:tr>
      <w:tr>
        <w:trPr>
          <w:trHeight w:val="276"/>
        </w:trPr>
        <w:tc>
          <w:tcPr>
            <w:tcW w:w="1080" w:type="dxa"/>
            <w:vAlign w:val="bottom"/>
            <w:tcBorders>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Fähigkeit</w:t>
            </w:r>
          </w:p>
        </w:tc>
        <w:tc>
          <w:tcPr>
            <w:tcW w:w="2420" w:type="dxa"/>
            <w:vAlign w:val="bottom"/>
            <w:tcBorders>
              <w:bottom w:val="single" w:sz="8" w:color="auto"/>
              <w:right w:val="single" w:sz="8" w:color="auto"/>
            </w:tcBorders>
          </w:tcPr>
          <w:p>
            <w:pPr>
              <w:ind w:left="1120"/>
              <w:spacing w:after="0"/>
              <w:rPr>
                <w:sz w:val="20"/>
                <w:szCs w:val="20"/>
                <w:color w:val="auto"/>
              </w:rPr>
            </w:pPr>
            <w:r>
              <w:rPr>
                <w:rFonts w:ascii="Times New Roman" w:cs="Times New Roman" w:eastAsia="Times New Roman" w:hAnsi="Times New Roman"/>
                <w:sz w:val="20"/>
                <w:szCs w:val="20"/>
                <w:color w:val="auto"/>
              </w:rPr>
              <w:t>Ja</w:t>
            </w:r>
          </w:p>
        </w:tc>
        <w:tc>
          <w:tcPr>
            <w:tcW w:w="2380" w:type="dxa"/>
            <w:vAlign w:val="bottom"/>
            <w:tcBorders>
              <w:bottom w:val="single" w:sz="8" w:color="auto"/>
              <w:right w:val="single" w:sz="8" w:color="auto"/>
            </w:tcBorders>
          </w:tcPr>
          <w:p>
            <w:pPr>
              <w:ind w:left="980"/>
              <w:spacing w:after="0"/>
              <w:rPr>
                <w:sz w:val="20"/>
                <w:szCs w:val="20"/>
                <w:color w:val="auto"/>
              </w:rPr>
            </w:pPr>
            <w:r>
              <w:rPr>
                <w:rFonts w:ascii="Times New Roman" w:cs="Times New Roman" w:eastAsia="Times New Roman" w:hAnsi="Times New Roman"/>
                <w:sz w:val="20"/>
                <w:szCs w:val="20"/>
                <w:color w:val="auto"/>
              </w:rPr>
              <w:t>Nein</w:t>
            </w:r>
          </w:p>
        </w:tc>
      </w:tr>
      <w:tr>
        <w:trPr>
          <w:trHeight w:val="276"/>
        </w:trPr>
        <w:tc>
          <w:tcPr>
            <w:tcW w:w="1080" w:type="dxa"/>
            <w:vAlign w:val="bottom"/>
            <w:tcBorders>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ja</w:t>
            </w:r>
          </w:p>
        </w:tc>
        <w:tc>
          <w:tcPr>
            <w:tcW w:w="242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zentral/systematisch</w:t>
            </w:r>
          </w:p>
        </w:tc>
        <w:tc>
          <w:tcPr>
            <w:tcW w:w="238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peripher/heuristisch</w:t>
            </w:r>
          </w:p>
        </w:tc>
      </w:tr>
      <w:tr>
        <w:trPr>
          <w:trHeight w:val="272"/>
        </w:trPr>
        <w:tc>
          <w:tcPr>
            <w:tcW w:w="1080" w:type="dxa"/>
            <w:vAlign w:val="bottom"/>
            <w:tcBorders>
              <w:left w:val="single" w:sz="8" w:color="auto"/>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0"/>
                <w:szCs w:val="20"/>
                <w:color w:val="auto"/>
              </w:rPr>
              <w:t>nein</w:t>
            </w:r>
          </w:p>
        </w:tc>
        <w:tc>
          <w:tcPr>
            <w:tcW w:w="242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systematisch 2. Ordnung</w:t>
            </w:r>
          </w:p>
        </w:tc>
        <w:tc>
          <w:tcPr>
            <w:tcW w:w="238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peripher/heuristisch</w:t>
            </w:r>
          </w:p>
        </w:tc>
      </w:tr>
    </w:tbl>
    <w:p>
      <w:pPr>
        <w:spacing w:after="0" w:line="385" w:lineRule="exact"/>
        <w:rPr>
          <w:sz w:val="20"/>
          <w:szCs w:val="20"/>
          <w:color w:val="auto"/>
        </w:rPr>
      </w:pPr>
    </w:p>
    <w:p>
      <w:pPr>
        <w:jc w:val="both"/>
        <w:ind w:left="440" w:firstLine="283"/>
        <w:spacing w:after="0" w:line="382" w:lineRule="auto"/>
        <w:rPr>
          <w:sz w:val="20"/>
          <w:szCs w:val="20"/>
          <w:color w:val="auto"/>
        </w:rPr>
      </w:pPr>
      <w:r>
        <w:rPr>
          <w:rFonts w:ascii="Times New Roman" w:cs="Times New Roman" w:eastAsia="Times New Roman" w:hAnsi="Times New Roman"/>
          <w:sz w:val="23"/>
          <w:szCs w:val="23"/>
          <w:color w:val="auto"/>
        </w:rPr>
        <w:t>Nach Tabelle 1 treten rein periphere/heuristische Prozesse der Einstellungsbildung dann auf, wenn beim Individuum keine Motivation zur systematisch/abwägenden Urteilsbildung vorhan-den ist. Verfügt das Individuum über Motivation und Fähigkeit, ist die Einstellungsbildung durch einen Prozess der zentralen/systematischen Informationsverarbeitung gekennzeichnet.</w:t>
      </w:r>
      <w:r>
        <w:rPr>
          <w:rFonts w:ascii="Times New Roman" w:cs="Times New Roman" w:eastAsia="Times New Roman" w:hAnsi="Times New Roman"/>
          <w:sz w:val="27"/>
          <w:szCs w:val="27"/>
          <w:color w:val="auto"/>
          <w:vertAlign w:val="superscript"/>
        </w:rPr>
        <w:t>10)</w:t>
      </w:r>
    </w:p>
    <w:p>
      <w:pPr>
        <w:spacing w:after="0" w:line="1" w:lineRule="exact"/>
        <w:rPr>
          <w:sz w:val="20"/>
          <w:szCs w:val="20"/>
          <w:color w:val="auto"/>
        </w:rPr>
      </w:pPr>
    </w:p>
    <w:p>
      <w:pPr>
        <w:jc w:val="both"/>
        <w:ind w:left="440" w:firstLine="283"/>
        <w:spacing w:after="0" w:line="370" w:lineRule="auto"/>
        <w:rPr>
          <w:sz w:val="20"/>
          <w:szCs w:val="20"/>
          <w:color w:val="auto"/>
        </w:rPr>
      </w:pPr>
      <w:r>
        <w:rPr>
          <w:rFonts w:ascii="Times New Roman" w:cs="Times New Roman" w:eastAsia="Times New Roman" w:hAnsi="Times New Roman"/>
          <w:sz w:val="24"/>
          <w:szCs w:val="24"/>
          <w:color w:val="auto"/>
        </w:rPr>
        <w:t>Von besonderem Interesse ist der Urteilsprozess von Personen, bei denen zwar einerseits die Motivation, eine 'korrekte' Einstellung zu halten, vorhanden ist, andererseits jedoch mangels Fähigkeit (oder auch aufgrund mangelnder Einschätzung der self-efficacy) dieses Ziel mittels systematischer Informationsverarbeitung nicht zu erreichen ist. Dann erlangen Heuristiken und heuristische Hinweise in der Situation (cues) eine besondere Bedeutung. Die folgende Ab-bildung 2 verdeutlicht diese Argumentation.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1375410</wp:posOffset>
                </wp:positionV>
                <wp:extent cx="18275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8.3pt" to="165.4pt,108.3pt" o:allowincell="f" strokecolor="#000000" strokeweight="0.9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880" w:hanging="449"/>
        <w:spacing w:after="0"/>
        <w:tabs>
          <w:tab w:leader="none" w:pos="88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Vgl. die Ausführungen bei Petty/Cacioppo (1986, Kapitel 8).</w:t>
      </w:r>
    </w:p>
    <w:p>
      <w:pPr>
        <w:spacing w:after="0" w:line="244" w:lineRule="exact"/>
        <w:rPr>
          <w:rFonts w:ascii="Times New Roman" w:cs="Times New Roman" w:eastAsia="Times New Roman" w:hAnsi="Times New Roman"/>
          <w:sz w:val="20"/>
          <w:szCs w:val="20"/>
          <w:color w:val="auto"/>
        </w:rPr>
      </w:pPr>
    </w:p>
    <w:p>
      <w:pPr>
        <w:jc w:val="both"/>
        <w:ind w:left="880" w:hanging="449"/>
        <w:spacing w:after="0" w:line="254" w:lineRule="auto"/>
        <w:tabs>
          <w:tab w:leader="none" w:pos="880"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Innerhalb des HSM wird davon ausgegangen, dass in der Bedingung hohe Motivation/hohe Fähigkeit sowohl eine systematische als auch eine heuristische Informationsverarbeitung erfolgt, der Einfluss von heuristischen cues auf die Einstellungsbildung jedoch durch die systematische Verarbeitung weitgehend eliminiert wird ( = attenuation Hypothese, vgl. Chaiken et al. 1989; Eagly/Chaiken 1993).</w:t>
      </w:r>
    </w:p>
    <w:p>
      <w:pPr>
        <w:sectPr>
          <w:pgSz w:w="11900" w:h="16840" w:orient="portrait"/>
          <w:cols w:equalWidth="0" w:num="1">
            <w:col w:w="9340"/>
          </w:cols>
          <w:pgMar w:left="1440" w:top="835" w:right="1120" w:bottom="547" w:gutter="0" w:footer="0" w:header="0"/>
        </w:sectPr>
      </w:pPr>
    </w:p>
    <w:bookmarkStart w:id="8" w:name="page9"/>
    <w:bookmarkEnd w:id="8"/>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7</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ind w:left="1800" w:right="400" w:hanging="1359"/>
        <w:spacing w:after="0" w:line="249" w:lineRule="auto"/>
        <w:rPr>
          <w:sz w:val="20"/>
          <w:szCs w:val="20"/>
          <w:color w:val="auto"/>
        </w:rPr>
      </w:pPr>
      <w:r>
        <w:rPr>
          <w:rFonts w:ascii="Times New Roman" w:cs="Times New Roman" w:eastAsia="Times New Roman" w:hAnsi="Times New Roman"/>
          <w:sz w:val="24"/>
          <w:szCs w:val="24"/>
          <w:color w:val="auto"/>
        </w:rPr>
        <w:t>Abbildung 2: Externe Quellen und Vertrauen als Determinanten der Einstellungsbildung im systematischen Prozess 2. Ordnung (Motivation=ja, Fähigkeit=nein)</w:t>
      </w:r>
    </w:p>
    <w:p>
      <w:pPr>
        <w:spacing w:after="0" w:line="382" w:lineRule="exact"/>
        <w:rPr>
          <w:sz w:val="20"/>
          <w:szCs w:val="20"/>
          <w:color w:val="auto"/>
        </w:rPr>
      </w:pPr>
    </w:p>
    <w:tbl>
      <w:tblPr>
        <w:tblLayout w:type="fixed"/>
        <w:tblInd w:w="510" w:type="dxa"/>
        <w:tblCellMar>
          <w:top w:w="0" w:type="dxa"/>
          <w:left w:w="0" w:type="dxa"/>
          <w:bottom w:w="0" w:type="dxa"/>
          <w:right w:w="0" w:type="dxa"/>
        </w:tblCellMar>
      </w:tblPr>
      <w:tr>
        <w:trPr>
          <w:trHeight w:val="148"/>
        </w:trPr>
        <w:tc>
          <w:tcPr>
            <w:tcW w:w="160" w:type="dxa"/>
            <w:vAlign w:val="bottom"/>
            <w:tcBorders>
              <w:top w:val="single" w:sz="8" w:color="auto"/>
              <w:left w:val="single" w:sz="8" w:color="auto"/>
            </w:tcBorders>
          </w:tcPr>
          <w:p>
            <w:pPr>
              <w:spacing w:after="0"/>
              <w:rPr>
                <w:sz w:val="12"/>
                <w:szCs w:val="12"/>
                <w:color w:val="auto"/>
              </w:rPr>
            </w:pPr>
          </w:p>
        </w:tc>
        <w:tc>
          <w:tcPr>
            <w:tcW w:w="1720" w:type="dxa"/>
            <w:vAlign w:val="bottom"/>
            <w:tcBorders>
              <w:top w:val="single" w:sz="8" w:color="auto"/>
              <w:bottom w:val="single" w:sz="8" w:color="auto"/>
            </w:tcBorders>
          </w:tcPr>
          <w:p>
            <w:pPr>
              <w:spacing w:after="0"/>
              <w:rPr>
                <w:sz w:val="12"/>
                <w:szCs w:val="12"/>
                <w:color w:val="auto"/>
              </w:rPr>
            </w:pPr>
          </w:p>
        </w:tc>
        <w:tc>
          <w:tcPr>
            <w:tcW w:w="420" w:type="dxa"/>
            <w:vAlign w:val="bottom"/>
            <w:tcBorders>
              <w:top w:val="single" w:sz="8" w:color="auto"/>
            </w:tcBorders>
          </w:tcPr>
          <w:p>
            <w:pPr>
              <w:spacing w:after="0"/>
              <w:rPr>
                <w:sz w:val="12"/>
                <w:szCs w:val="12"/>
                <w:color w:val="auto"/>
              </w:rPr>
            </w:pPr>
          </w:p>
        </w:tc>
        <w:tc>
          <w:tcPr>
            <w:tcW w:w="980" w:type="dxa"/>
            <w:vAlign w:val="bottom"/>
            <w:tcBorders>
              <w:top w:val="single" w:sz="8" w:color="auto"/>
              <w:bottom w:val="single" w:sz="8" w:color="auto"/>
            </w:tcBorders>
          </w:tcPr>
          <w:p>
            <w:pPr>
              <w:spacing w:after="0"/>
              <w:rPr>
                <w:sz w:val="12"/>
                <w:szCs w:val="12"/>
                <w:color w:val="auto"/>
              </w:rPr>
            </w:pPr>
          </w:p>
        </w:tc>
        <w:tc>
          <w:tcPr>
            <w:tcW w:w="420" w:type="dxa"/>
            <w:vAlign w:val="bottom"/>
            <w:tcBorders>
              <w:top w:val="single" w:sz="8" w:color="auto"/>
            </w:tcBorders>
          </w:tcPr>
          <w:p>
            <w:pPr>
              <w:spacing w:after="0"/>
              <w:rPr>
                <w:sz w:val="12"/>
                <w:szCs w:val="12"/>
                <w:color w:val="auto"/>
              </w:rPr>
            </w:pPr>
          </w:p>
        </w:tc>
        <w:tc>
          <w:tcPr>
            <w:tcW w:w="1000" w:type="dxa"/>
            <w:vAlign w:val="bottom"/>
            <w:tcBorders>
              <w:top w:val="single" w:sz="8" w:color="auto"/>
              <w:bottom w:val="single" w:sz="8" w:color="auto"/>
            </w:tcBorders>
          </w:tcPr>
          <w:p>
            <w:pPr>
              <w:spacing w:after="0"/>
              <w:rPr>
                <w:sz w:val="12"/>
                <w:szCs w:val="12"/>
                <w:color w:val="auto"/>
              </w:rPr>
            </w:pPr>
          </w:p>
        </w:tc>
        <w:tc>
          <w:tcPr>
            <w:tcW w:w="420" w:type="dxa"/>
            <w:vAlign w:val="bottom"/>
            <w:tcBorders>
              <w:top w:val="single" w:sz="8" w:color="auto"/>
            </w:tcBorders>
          </w:tcPr>
          <w:p>
            <w:pPr>
              <w:spacing w:after="0"/>
              <w:rPr>
                <w:sz w:val="12"/>
                <w:szCs w:val="12"/>
                <w:color w:val="auto"/>
              </w:rPr>
            </w:pPr>
          </w:p>
        </w:tc>
        <w:tc>
          <w:tcPr>
            <w:tcW w:w="1000" w:type="dxa"/>
            <w:vAlign w:val="bottom"/>
            <w:tcBorders>
              <w:top w:val="single" w:sz="8" w:color="auto"/>
              <w:bottom w:val="single" w:sz="8" w:color="auto"/>
            </w:tcBorders>
          </w:tcPr>
          <w:p>
            <w:pPr>
              <w:spacing w:after="0"/>
              <w:rPr>
                <w:sz w:val="12"/>
                <w:szCs w:val="12"/>
                <w:color w:val="auto"/>
              </w:rPr>
            </w:pPr>
          </w:p>
        </w:tc>
        <w:tc>
          <w:tcPr>
            <w:tcW w:w="140" w:type="dxa"/>
            <w:vAlign w:val="bottom"/>
            <w:tcBorders>
              <w:top w:val="single" w:sz="8" w:color="auto"/>
              <w:right w:val="single" w:sz="8" w:color="auto"/>
            </w:tcBorders>
          </w:tcPr>
          <w:p>
            <w:pPr>
              <w:spacing w:after="0"/>
              <w:rPr>
                <w:sz w:val="12"/>
                <w:szCs w:val="12"/>
                <w:color w:val="auto"/>
              </w:rPr>
            </w:pPr>
          </w:p>
        </w:tc>
        <w:tc>
          <w:tcPr>
            <w:tcW w:w="1560" w:type="dxa"/>
            <w:vAlign w:val="bottom"/>
          </w:tcPr>
          <w:p>
            <w:pPr>
              <w:spacing w:after="0"/>
              <w:rPr>
                <w:sz w:val="12"/>
                <w:szCs w:val="12"/>
                <w:color w:val="auto"/>
              </w:rPr>
            </w:pPr>
          </w:p>
        </w:tc>
        <w:tc>
          <w:tcPr>
            <w:tcW w:w="1040" w:type="dxa"/>
            <w:vAlign w:val="bottom"/>
          </w:tcPr>
          <w:p>
            <w:pPr>
              <w:spacing w:after="0"/>
              <w:rPr>
                <w:sz w:val="12"/>
                <w:szCs w:val="12"/>
                <w:color w:val="auto"/>
              </w:rPr>
            </w:pPr>
          </w:p>
        </w:tc>
      </w:tr>
      <w:tr>
        <w:trPr>
          <w:trHeight w:val="194"/>
        </w:trPr>
        <w:tc>
          <w:tcPr>
            <w:tcW w:w="160" w:type="dxa"/>
            <w:vAlign w:val="bottom"/>
            <w:tcBorders>
              <w:left w:val="single" w:sz="8" w:color="auto"/>
              <w:right w:val="single" w:sz="8" w:color="auto"/>
            </w:tcBorders>
          </w:tcPr>
          <w:p>
            <w:pPr>
              <w:spacing w:after="0"/>
              <w:rPr>
                <w:sz w:val="16"/>
                <w:szCs w:val="16"/>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8"/>
              </w:rPr>
              <w:t>Position von</w:t>
            </w:r>
          </w:p>
        </w:tc>
        <w:tc>
          <w:tcPr>
            <w:tcW w:w="420" w:type="dxa"/>
            <w:vAlign w:val="bottom"/>
            <w:tcBorders>
              <w:right w:val="single" w:sz="8" w:color="auto"/>
            </w:tcBorders>
          </w:tcPr>
          <w:p>
            <w:pPr>
              <w:ind w:left="120"/>
              <w:spacing w:after="0" w:line="193" w:lineRule="exact"/>
              <w:rPr>
                <w:sz w:val="20"/>
                <w:szCs w:val="20"/>
                <w:color w:val="auto"/>
              </w:rPr>
            </w:pPr>
            <w:r>
              <w:rPr>
                <w:rFonts w:ascii="Arial" w:cs="Arial" w:eastAsia="Arial" w:hAnsi="Arial"/>
                <w:sz w:val="22"/>
                <w:szCs w:val="22"/>
                <w:color w:val="auto"/>
              </w:rPr>
              <w:t>x</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8"/>
              </w:rPr>
              <w:t>Relevanz</w:t>
            </w:r>
          </w:p>
        </w:tc>
        <w:tc>
          <w:tcPr>
            <w:tcW w:w="420" w:type="dxa"/>
            <w:vAlign w:val="bottom"/>
            <w:tcBorders>
              <w:right w:val="single" w:sz="8" w:color="auto"/>
            </w:tcBorders>
          </w:tcPr>
          <w:p>
            <w:pPr>
              <w:ind w:left="140"/>
              <w:spacing w:after="0" w:line="193" w:lineRule="exact"/>
              <w:rPr>
                <w:sz w:val="20"/>
                <w:szCs w:val="20"/>
                <w:color w:val="auto"/>
              </w:rPr>
            </w:pPr>
            <w:r>
              <w:rPr>
                <w:rFonts w:ascii="Arial" w:cs="Arial" w:eastAsia="Arial" w:hAnsi="Arial"/>
                <w:sz w:val="22"/>
                <w:szCs w:val="22"/>
                <w:color w:val="auto"/>
              </w:rPr>
              <w:t>x</w:t>
            </w:r>
          </w:p>
        </w:tc>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8"/>
              </w:rPr>
              <w:t>Kompetenz</w:t>
            </w:r>
          </w:p>
        </w:tc>
        <w:tc>
          <w:tcPr>
            <w:tcW w:w="420" w:type="dxa"/>
            <w:vAlign w:val="bottom"/>
            <w:tcBorders>
              <w:right w:val="single" w:sz="8" w:color="auto"/>
            </w:tcBorders>
          </w:tcPr>
          <w:p>
            <w:pPr>
              <w:ind w:left="140"/>
              <w:spacing w:after="0" w:line="193" w:lineRule="exact"/>
              <w:rPr>
                <w:sz w:val="20"/>
                <w:szCs w:val="20"/>
                <w:color w:val="auto"/>
              </w:rPr>
            </w:pPr>
            <w:r>
              <w:rPr>
                <w:rFonts w:ascii="Arial" w:cs="Arial" w:eastAsia="Arial" w:hAnsi="Arial"/>
                <w:sz w:val="22"/>
                <w:szCs w:val="22"/>
                <w:color w:val="auto"/>
              </w:rPr>
              <w:t>x</w:t>
            </w:r>
          </w:p>
        </w:tc>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9"/>
              </w:rPr>
              <w:t>Vertrauen</w:t>
            </w:r>
          </w:p>
        </w:tc>
        <w:tc>
          <w:tcPr>
            <w:tcW w:w="140" w:type="dxa"/>
            <w:vAlign w:val="bottom"/>
            <w:tcBorders>
              <w:right w:val="single" w:sz="8" w:color="auto"/>
            </w:tcBorders>
          </w:tcPr>
          <w:p>
            <w:pPr>
              <w:spacing w:after="0"/>
              <w:rPr>
                <w:sz w:val="16"/>
                <w:szCs w:val="16"/>
                <w:color w:val="auto"/>
              </w:rPr>
            </w:pPr>
          </w:p>
        </w:tc>
        <w:tc>
          <w:tcPr>
            <w:tcW w:w="1560" w:type="dxa"/>
            <w:vAlign w:val="bottom"/>
          </w:tcPr>
          <w:p>
            <w:pPr>
              <w:spacing w:after="0"/>
              <w:rPr>
                <w:sz w:val="16"/>
                <w:szCs w:val="16"/>
                <w:color w:val="auto"/>
              </w:rPr>
            </w:pPr>
          </w:p>
        </w:tc>
        <w:tc>
          <w:tcPr>
            <w:tcW w:w="1040" w:type="dxa"/>
            <w:vAlign w:val="bottom"/>
          </w:tcPr>
          <w:p>
            <w:pPr>
              <w:spacing w:after="0"/>
              <w:rPr>
                <w:sz w:val="16"/>
                <w:szCs w:val="16"/>
                <w:color w:val="auto"/>
              </w:rPr>
            </w:pPr>
          </w:p>
        </w:tc>
      </w:tr>
      <w:tr>
        <w:trPr>
          <w:trHeight w:val="208"/>
        </w:trPr>
        <w:tc>
          <w:tcPr>
            <w:tcW w:w="160" w:type="dxa"/>
            <w:vAlign w:val="bottom"/>
            <w:tcBorders>
              <w:left w:val="single" w:sz="8" w:color="auto"/>
              <w:right w:val="single" w:sz="8" w:color="auto"/>
            </w:tcBorders>
          </w:tcPr>
          <w:p>
            <w:pPr>
              <w:spacing w:after="0"/>
              <w:rPr>
                <w:sz w:val="18"/>
                <w:szCs w:val="18"/>
                <w:color w:val="auto"/>
              </w:rPr>
            </w:pPr>
          </w:p>
        </w:tc>
        <w:tc>
          <w:tcPr>
            <w:tcW w:w="17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8"/>
              </w:rPr>
              <w:t>Informationsquelle 1</w:t>
            </w:r>
          </w:p>
        </w:tc>
        <w:tc>
          <w:tcPr>
            <w:tcW w:w="420" w:type="dxa"/>
            <w:vAlign w:val="bottom"/>
            <w:tcBorders>
              <w:right w:val="single" w:sz="8" w:color="auto"/>
            </w:tcBorders>
          </w:tcPr>
          <w:p>
            <w:pPr>
              <w:spacing w:after="0"/>
              <w:rPr>
                <w:sz w:val="18"/>
                <w:szCs w:val="18"/>
                <w:color w:val="auto"/>
              </w:rPr>
            </w:pPr>
          </w:p>
        </w:tc>
        <w:tc>
          <w:tcPr>
            <w:tcW w:w="980" w:type="dxa"/>
            <w:vAlign w:val="bottom"/>
            <w:tcBorders>
              <w:bottom w:val="single" w:sz="8" w:color="auto"/>
              <w:right w:val="single" w:sz="8" w:color="auto"/>
            </w:tcBorders>
          </w:tcPr>
          <w:p>
            <w:pPr>
              <w:jc w:val="center"/>
              <w:spacing w:after="0" w:line="208" w:lineRule="exact"/>
              <w:rPr>
                <w:sz w:val="20"/>
                <w:szCs w:val="20"/>
                <w:color w:val="auto"/>
              </w:rPr>
            </w:pPr>
            <w:r>
              <w:rPr>
                <w:rFonts w:ascii="Arial" w:cs="Arial" w:eastAsia="Arial" w:hAnsi="Arial"/>
                <w:sz w:val="16"/>
                <w:szCs w:val="16"/>
                <w:color w:val="auto"/>
                <w:w w:val="89"/>
              </w:rPr>
              <w:t>von I</w:t>
            </w:r>
            <w:r>
              <w:rPr>
                <w:rFonts w:ascii="Arial" w:cs="Arial" w:eastAsia="Arial" w:hAnsi="Arial"/>
                <w:sz w:val="21"/>
                <w:szCs w:val="21"/>
                <w:color w:val="auto"/>
                <w:w w:val="89"/>
                <w:vertAlign w:val="subscript"/>
              </w:rPr>
              <w:t>1</w:t>
            </w:r>
          </w:p>
        </w:tc>
        <w:tc>
          <w:tcPr>
            <w:tcW w:w="420" w:type="dxa"/>
            <w:vAlign w:val="bottom"/>
            <w:tcBorders>
              <w:right w:val="single" w:sz="8" w:color="auto"/>
            </w:tcBorders>
          </w:tcPr>
          <w:p>
            <w:pPr>
              <w:spacing w:after="0"/>
              <w:rPr>
                <w:sz w:val="18"/>
                <w:szCs w:val="18"/>
                <w:color w:val="auto"/>
              </w:rPr>
            </w:pPr>
          </w:p>
        </w:tc>
        <w:tc>
          <w:tcPr>
            <w:tcW w:w="1000" w:type="dxa"/>
            <w:vAlign w:val="bottom"/>
            <w:tcBorders>
              <w:bottom w:val="single" w:sz="8" w:color="auto"/>
              <w:right w:val="single" w:sz="8" w:color="auto"/>
            </w:tcBorders>
          </w:tcPr>
          <w:p>
            <w:pPr>
              <w:jc w:val="center"/>
              <w:spacing w:after="0" w:line="208" w:lineRule="exact"/>
              <w:rPr>
                <w:sz w:val="20"/>
                <w:szCs w:val="20"/>
                <w:color w:val="auto"/>
              </w:rPr>
            </w:pPr>
            <w:r>
              <w:rPr>
                <w:rFonts w:ascii="Arial" w:cs="Arial" w:eastAsia="Arial" w:hAnsi="Arial"/>
                <w:sz w:val="16"/>
                <w:szCs w:val="16"/>
                <w:color w:val="auto"/>
                <w:w w:val="89"/>
              </w:rPr>
              <w:t>von I</w:t>
            </w:r>
            <w:r>
              <w:rPr>
                <w:rFonts w:ascii="Arial" w:cs="Arial" w:eastAsia="Arial" w:hAnsi="Arial"/>
                <w:sz w:val="21"/>
                <w:szCs w:val="21"/>
                <w:color w:val="auto"/>
                <w:w w:val="89"/>
                <w:vertAlign w:val="subscript"/>
              </w:rPr>
              <w:t>1</w:t>
            </w:r>
          </w:p>
        </w:tc>
        <w:tc>
          <w:tcPr>
            <w:tcW w:w="420" w:type="dxa"/>
            <w:vAlign w:val="bottom"/>
            <w:tcBorders>
              <w:right w:val="single" w:sz="8" w:color="auto"/>
            </w:tcBorders>
          </w:tcPr>
          <w:p>
            <w:pPr>
              <w:spacing w:after="0"/>
              <w:rPr>
                <w:sz w:val="18"/>
                <w:szCs w:val="18"/>
                <w:color w:val="auto"/>
              </w:rPr>
            </w:pPr>
          </w:p>
        </w:tc>
        <w:tc>
          <w:tcPr>
            <w:tcW w:w="1000" w:type="dxa"/>
            <w:vAlign w:val="bottom"/>
            <w:tcBorders>
              <w:bottom w:val="single" w:sz="8" w:color="auto"/>
              <w:right w:val="single" w:sz="8" w:color="auto"/>
            </w:tcBorders>
          </w:tcPr>
          <w:p>
            <w:pPr>
              <w:jc w:val="center"/>
              <w:spacing w:after="0" w:line="208" w:lineRule="exact"/>
              <w:rPr>
                <w:sz w:val="20"/>
                <w:szCs w:val="20"/>
                <w:color w:val="auto"/>
              </w:rPr>
            </w:pPr>
            <w:r>
              <w:rPr>
                <w:rFonts w:ascii="Arial" w:cs="Arial" w:eastAsia="Arial" w:hAnsi="Arial"/>
                <w:sz w:val="16"/>
                <w:szCs w:val="16"/>
                <w:color w:val="auto"/>
                <w:w w:val="89"/>
              </w:rPr>
              <w:t>in I</w:t>
            </w:r>
            <w:r>
              <w:rPr>
                <w:rFonts w:ascii="Arial" w:cs="Arial" w:eastAsia="Arial" w:hAnsi="Arial"/>
                <w:sz w:val="21"/>
                <w:szCs w:val="21"/>
                <w:color w:val="auto"/>
                <w:w w:val="89"/>
                <w:vertAlign w:val="subscript"/>
              </w:rPr>
              <w:t>1</w:t>
            </w:r>
          </w:p>
        </w:tc>
        <w:tc>
          <w:tcPr>
            <w:tcW w:w="140" w:type="dxa"/>
            <w:vAlign w:val="bottom"/>
            <w:tcBorders>
              <w:right w:val="single" w:sz="8" w:color="auto"/>
            </w:tcBorders>
          </w:tcPr>
          <w:p>
            <w:pPr>
              <w:spacing w:after="0"/>
              <w:rPr>
                <w:sz w:val="18"/>
                <w:szCs w:val="18"/>
                <w:color w:val="auto"/>
              </w:rPr>
            </w:pPr>
          </w:p>
        </w:tc>
        <w:tc>
          <w:tcPr>
            <w:tcW w:w="1560" w:type="dxa"/>
            <w:vAlign w:val="bottom"/>
          </w:tcPr>
          <w:p>
            <w:pPr>
              <w:spacing w:after="0"/>
              <w:rPr>
                <w:sz w:val="18"/>
                <w:szCs w:val="18"/>
                <w:color w:val="auto"/>
              </w:rPr>
            </w:pPr>
          </w:p>
        </w:tc>
        <w:tc>
          <w:tcPr>
            <w:tcW w:w="1040" w:type="dxa"/>
            <w:vAlign w:val="bottom"/>
          </w:tcPr>
          <w:p>
            <w:pPr>
              <w:spacing w:after="0"/>
              <w:rPr>
                <w:sz w:val="18"/>
                <w:szCs w:val="18"/>
                <w:color w:val="auto"/>
              </w:rPr>
            </w:pPr>
          </w:p>
        </w:tc>
      </w:tr>
      <w:tr>
        <w:trPr>
          <w:trHeight w:val="118"/>
        </w:trPr>
        <w:tc>
          <w:tcPr>
            <w:tcW w:w="160" w:type="dxa"/>
            <w:vAlign w:val="bottom"/>
            <w:tcBorders>
              <w:left w:val="single" w:sz="8" w:color="auto"/>
              <w:bottom w:val="single" w:sz="8" w:color="auto"/>
            </w:tcBorders>
          </w:tcPr>
          <w:p>
            <w:pPr>
              <w:spacing w:after="0"/>
              <w:rPr>
                <w:sz w:val="10"/>
                <w:szCs w:val="10"/>
                <w:color w:val="auto"/>
              </w:rPr>
            </w:pPr>
          </w:p>
        </w:tc>
        <w:tc>
          <w:tcPr>
            <w:tcW w:w="172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140" w:type="dxa"/>
            <w:vAlign w:val="bottom"/>
            <w:tcBorders>
              <w:bottom w:val="single" w:sz="8" w:color="auto"/>
              <w:right w:val="single" w:sz="8" w:color="auto"/>
            </w:tcBorders>
          </w:tcPr>
          <w:p>
            <w:pPr>
              <w:spacing w:after="0"/>
              <w:rPr>
                <w:sz w:val="10"/>
                <w:szCs w:val="10"/>
                <w:color w:val="auto"/>
              </w:rPr>
            </w:pPr>
          </w:p>
        </w:tc>
        <w:tc>
          <w:tcPr>
            <w:tcW w:w="1560" w:type="dxa"/>
            <w:vAlign w:val="bottom"/>
          </w:tcPr>
          <w:p>
            <w:pPr>
              <w:spacing w:after="0"/>
              <w:rPr>
                <w:sz w:val="10"/>
                <w:szCs w:val="10"/>
                <w:color w:val="auto"/>
              </w:rPr>
            </w:pPr>
          </w:p>
        </w:tc>
        <w:tc>
          <w:tcPr>
            <w:tcW w:w="1040" w:type="dxa"/>
            <w:vAlign w:val="bottom"/>
          </w:tcPr>
          <w:p>
            <w:pPr>
              <w:spacing w:after="0"/>
              <w:rPr>
                <w:sz w:val="10"/>
                <w:szCs w:val="10"/>
                <w:color w:val="auto"/>
              </w:rPr>
            </w:pPr>
          </w:p>
        </w:tc>
      </w:tr>
      <w:tr>
        <w:trPr>
          <w:trHeight w:val="119"/>
        </w:trPr>
        <w:tc>
          <w:tcPr>
            <w:tcW w:w="160" w:type="dxa"/>
            <w:vAlign w:val="bottom"/>
            <w:tcBorders>
              <w:bottom w:val="single" w:sz="8" w:color="auto"/>
            </w:tcBorders>
          </w:tcPr>
          <w:p>
            <w:pPr>
              <w:spacing w:after="0"/>
              <w:rPr>
                <w:sz w:val="10"/>
                <w:szCs w:val="10"/>
                <w:color w:val="auto"/>
              </w:rPr>
            </w:pPr>
          </w:p>
        </w:tc>
        <w:tc>
          <w:tcPr>
            <w:tcW w:w="172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140" w:type="dxa"/>
            <w:vAlign w:val="bottom"/>
            <w:tcBorders>
              <w:bottom w:val="single" w:sz="8" w:color="auto"/>
            </w:tcBorders>
            <w:gridSpan w:val="2"/>
          </w:tcPr>
          <w:p>
            <w:pPr>
              <w:spacing w:after="0"/>
              <w:rPr>
                <w:sz w:val="10"/>
                <w:szCs w:val="10"/>
                <w:color w:val="auto"/>
              </w:rPr>
            </w:pPr>
          </w:p>
        </w:tc>
        <w:tc>
          <w:tcPr>
            <w:tcW w:w="1560" w:type="dxa"/>
            <w:vAlign w:val="bottom"/>
          </w:tcPr>
          <w:p>
            <w:pPr>
              <w:spacing w:after="0"/>
              <w:rPr>
                <w:sz w:val="10"/>
                <w:szCs w:val="10"/>
                <w:color w:val="auto"/>
              </w:rPr>
            </w:pPr>
          </w:p>
        </w:tc>
        <w:tc>
          <w:tcPr>
            <w:tcW w:w="1040" w:type="dxa"/>
            <w:vAlign w:val="bottom"/>
          </w:tcPr>
          <w:p>
            <w:pPr>
              <w:spacing w:after="0"/>
              <w:rPr>
                <w:sz w:val="10"/>
                <w:szCs w:val="10"/>
                <w:color w:val="auto"/>
              </w:rPr>
            </w:pPr>
          </w:p>
        </w:tc>
      </w:tr>
      <w:tr>
        <w:trPr>
          <w:trHeight w:val="143"/>
        </w:trPr>
        <w:tc>
          <w:tcPr>
            <w:tcW w:w="160" w:type="dxa"/>
            <w:vAlign w:val="bottom"/>
            <w:tcBorders>
              <w:left w:val="single" w:sz="8" w:color="auto"/>
            </w:tcBorders>
          </w:tcPr>
          <w:p>
            <w:pPr>
              <w:spacing w:after="0"/>
              <w:rPr>
                <w:sz w:val="12"/>
                <w:szCs w:val="12"/>
                <w:color w:val="auto"/>
              </w:rPr>
            </w:pPr>
          </w:p>
        </w:tc>
        <w:tc>
          <w:tcPr>
            <w:tcW w:w="17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140" w:type="dxa"/>
            <w:vAlign w:val="bottom"/>
            <w:tcBorders>
              <w:right w:val="single" w:sz="8" w:color="auto"/>
            </w:tcBorders>
            <w:gridSpan w:val="2"/>
          </w:tcPr>
          <w:p>
            <w:pPr>
              <w:spacing w:after="0"/>
              <w:rPr>
                <w:sz w:val="12"/>
                <w:szCs w:val="12"/>
                <w:color w:val="auto"/>
              </w:rPr>
            </w:pPr>
          </w:p>
        </w:tc>
        <w:tc>
          <w:tcPr>
            <w:tcW w:w="1560" w:type="dxa"/>
            <w:vAlign w:val="bottom"/>
          </w:tcPr>
          <w:p>
            <w:pPr>
              <w:spacing w:after="0"/>
              <w:rPr>
                <w:sz w:val="12"/>
                <w:szCs w:val="12"/>
                <w:color w:val="auto"/>
              </w:rPr>
            </w:pPr>
          </w:p>
        </w:tc>
        <w:tc>
          <w:tcPr>
            <w:tcW w:w="1040" w:type="dxa"/>
            <w:vAlign w:val="bottom"/>
          </w:tcPr>
          <w:p>
            <w:pPr>
              <w:spacing w:after="0"/>
              <w:rPr>
                <w:sz w:val="12"/>
                <w:szCs w:val="12"/>
                <w:color w:val="auto"/>
              </w:rPr>
            </w:pPr>
          </w:p>
        </w:tc>
      </w:tr>
      <w:tr>
        <w:trPr>
          <w:trHeight w:val="178"/>
        </w:trPr>
        <w:tc>
          <w:tcPr>
            <w:tcW w:w="160" w:type="dxa"/>
            <w:vAlign w:val="bottom"/>
            <w:tcBorders>
              <w:left w:val="single" w:sz="8" w:color="auto"/>
              <w:right w:val="single" w:sz="8" w:color="auto"/>
            </w:tcBorders>
          </w:tcPr>
          <w:p>
            <w:pPr>
              <w:spacing w:after="0"/>
              <w:rPr>
                <w:sz w:val="15"/>
                <w:szCs w:val="15"/>
                <w:color w:val="auto"/>
              </w:rPr>
            </w:pPr>
          </w:p>
        </w:tc>
        <w:tc>
          <w:tcPr>
            <w:tcW w:w="1720" w:type="dxa"/>
            <w:vAlign w:val="bottom"/>
            <w:tcBorders>
              <w:top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8"/>
              </w:rPr>
              <w:t>Position von</w:t>
            </w:r>
          </w:p>
        </w:tc>
        <w:tc>
          <w:tcPr>
            <w:tcW w:w="420" w:type="dxa"/>
            <w:vAlign w:val="bottom"/>
            <w:tcBorders>
              <w:right w:val="single" w:sz="8" w:color="auto"/>
            </w:tcBorders>
          </w:tcPr>
          <w:p>
            <w:pPr>
              <w:ind w:left="120"/>
              <w:spacing w:after="0" w:line="179" w:lineRule="exact"/>
              <w:rPr>
                <w:sz w:val="20"/>
                <w:szCs w:val="20"/>
                <w:color w:val="auto"/>
              </w:rPr>
            </w:pPr>
            <w:r>
              <w:rPr>
                <w:rFonts w:ascii="Arial" w:cs="Arial" w:eastAsia="Arial" w:hAnsi="Arial"/>
                <w:sz w:val="20"/>
                <w:szCs w:val="20"/>
                <w:color w:val="auto"/>
              </w:rPr>
              <w:t>x</w:t>
            </w:r>
          </w:p>
        </w:tc>
        <w:tc>
          <w:tcPr>
            <w:tcW w:w="980" w:type="dxa"/>
            <w:vAlign w:val="bottom"/>
            <w:tcBorders>
              <w:top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8"/>
              </w:rPr>
              <w:t>Relevanz</w:t>
            </w:r>
          </w:p>
        </w:tc>
        <w:tc>
          <w:tcPr>
            <w:tcW w:w="420" w:type="dxa"/>
            <w:vAlign w:val="bottom"/>
            <w:tcBorders>
              <w:right w:val="single" w:sz="8" w:color="auto"/>
            </w:tcBorders>
          </w:tcPr>
          <w:p>
            <w:pPr>
              <w:ind w:left="140"/>
              <w:spacing w:after="0" w:line="179" w:lineRule="exact"/>
              <w:rPr>
                <w:sz w:val="20"/>
                <w:szCs w:val="20"/>
                <w:color w:val="auto"/>
              </w:rPr>
            </w:pPr>
            <w:r>
              <w:rPr>
                <w:rFonts w:ascii="Arial" w:cs="Arial" w:eastAsia="Arial" w:hAnsi="Arial"/>
                <w:sz w:val="20"/>
                <w:szCs w:val="20"/>
                <w:color w:val="auto"/>
              </w:rPr>
              <w:t>x</w:t>
            </w:r>
          </w:p>
        </w:tc>
        <w:tc>
          <w:tcPr>
            <w:tcW w:w="1000" w:type="dxa"/>
            <w:vAlign w:val="bottom"/>
            <w:tcBorders>
              <w:top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8"/>
              </w:rPr>
              <w:t>Kompetenz</w:t>
            </w:r>
          </w:p>
        </w:tc>
        <w:tc>
          <w:tcPr>
            <w:tcW w:w="420" w:type="dxa"/>
            <w:vAlign w:val="bottom"/>
            <w:tcBorders>
              <w:right w:val="single" w:sz="8" w:color="auto"/>
            </w:tcBorders>
          </w:tcPr>
          <w:p>
            <w:pPr>
              <w:ind w:left="140"/>
              <w:spacing w:after="0" w:line="179" w:lineRule="exact"/>
              <w:rPr>
                <w:sz w:val="20"/>
                <w:szCs w:val="20"/>
                <w:color w:val="auto"/>
              </w:rPr>
            </w:pPr>
            <w:r>
              <w:rPr>
                <w:rFonts w:ascii="Arial" w:cs="Arial" w:eastAsia="Arial" w:hAnsi="Arial"/>
                <w:sz w:val="20"/>
                <w:szCs w:val="20"/>
                <w:color w:val="auto"/>
              </w:rPr>
              <w:t>x</w:t>
            </w:r>
          </w:p>
        </w:tc>
        <w:tc>
          <w:tcPr>
            <w:tcW w:w="1000" w:type="dxa"/>
            <w:vAlign w:val="bottom"/>
            <w:tcBorders>
              <w:top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9"/>
              </w:rPr>
              <w:t>Vertrauen</w:t>
            </w:r>
          </w:p>
        </w:tc>
        <w:tc>
          <w:tcPr>
            <w:tcW w:w="140" w:type="dxa"/>
            <w:vAlign w:val="bottom"/>
            <w:tcBorders>
              <w:right w:val="single" w:sz="8" w:color="auto"/>
            </w:tcBorders>
          </w:tcPr>
          <w:p>
            <w:pPr>
              <w:spacing w:after="0"/>
              <w:rPr>
                <w:sz w:val="15"/>
                <w:szCs w:val="15"/>
                <w:color w:val="auto"/>
              </w:rPr>
            </w:pPr>
          </w:p>
        </w:tc>
        <w:tc>
          <w:tcPr>
            <w:tcW w:w="1560" w:type="dxa"/>
            <w:vAlign w:val="bottom"/>
            <w:tcBorders>
              <w:right w:val="single" w:sz="8" w:color="auto"/>
            </w:tcBorders>
          </w:tcPr>
          <w:p>
            <w:pPr>
              <w:spacing w:after="0"/>
              <w:rPr>
                <w:sz w:val="15"/>
                <w:szCs w:val="15"/>
                <w:color w:val="auto"/>
              </w:rPr>
            </w:pPr>
          </w:p>
        </w:tc>
        <w:tc>
          <w:tcPr>
            <w:tcW w:w="1040" w:type="dxa"/>
            <w:vAlign w:val="bottom"/>
            <w:tcBorders>
              <w:top w:val="single" w:sz="8" w:color="auto"/>
              <w:right w:val="single" w:sz="8" w:color="auto"/>
            </w:tcBorders>
          </w:tcPr>
          <w:p>
            <w:pPr>
              <w:jc w:val="center"/>
              <w:spacing w:after="0" w:line="178" w:lineRule="exact"/>
              <w:rPr>
                <w:sz w:val="20"/>
                <w:szCs w:val="20"/>
                <w:color w:val="auto"/>
              </w:rPr>
            </w:pPr>
            <w:r>
              <w:rPr>
                <w:rFonts w:ascii="Arial" w:cs="Arial" w:eastAsia="Arial" w:hAnsi="Arial"/>
                <w:sz w:val="16"/>
                <w:szCs w:val="16"/>
                <w:color w:val="auto"/>
                <w:w w:val="98"/>
              </w:rPr>
              <w:t>Einstellung /</w:t>
            </w:r>
          </w:p>
        </w:tc>
      </w:tr>
      <w:tr>
        <w:trPr>
          <w:trHeight w:val="203"/>
        </w:trPr>
        <w:tc>
          <w:tcPr>
            <w:tcW w:w="160" w:type="dxa"/>
            <w:vAlign w:val="bottom"/>
            <w:tcBorders>
              <w:left w:val="single" w:sz="8" w:color="auto"/>
              <w:right w:val="single" w:sz="8" w:color="auto"/>
            </w:tcBorders>
          </w:tcPr>
          <w:p>
            <w:pPr>
              <w:spacing w:after="0"/>
              <w:rPr>
                <w:sz w:val="17"/>
                <w:szCs w:val="17"/>
                <w:color w:val="auto"/>
              </w:rPr>
            </w:pPr>
          </w:p>
        </w:tc>
        <w:tc>
          <w:tcPr>
            <w:tcW w:w="17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8"/>
              </w:rPr>
              <w:t>Informationsquelle 2</w:t>
            </w:r>
          </w:p>
        </w:tc>
        <w:tc>
          <w:tcPr>
            <w:tcW w:w="420" w:type="dxa"/>
            <w:vAlign w:val="bottom"/>
            <w:tcBorders>
              <w:right w:val="single" w:sz="8" w:color="auto"/>
            </w:tcBorders>
          </w:tcPr>
          <w:p>
            <w:pPr>
              <w:spacing w:after="0"/>
              <w:rPr>
                <w:sz w:val="17"/>
                <w:szCs w:val="17"/>
                <w:color w:val="auto"/>
              </w:rPr>
            </w:pPr>
          </w:p>
        </w:tc>
        <w:tc>
          <w:tcPr>
            <w:tcW w:w="980" w:type="dxa"/>
            <w:vAlign w:val="bottom"/>
            <w:tcBorders>
              <w:bottom w:val="single" w:sz="8" w:color="auto"/>
              <w:right w:val="single" w:sz="8" w:color="auto"/>
            </w:tcBorders>
          </w:tcPr>
          <w:p>
            <w:pPr>
              <w:jc w:val="center"/>
              <w:spacing w:after="0" w:line="203" w:lineRule="exact"/>
              <w:rPr>
                <w:sz w:val="20"/>
                <w:szCs w:val="20"/>
                <w:color w:val="auto"/>
              </w:rPr>
            </w:pPr>
            <w:r>
              <w:rPr>
                <w:rFonts w:ascii="Arial" w:cs="Arial" w:eastAsia="Arial" w:hAnsi="Arial"/>
                <w:sz w:val="16"/>
                <w:szCs w:val="16"/>
                <w:color w:val="auto"/>
                <w:w w:val="89"/>
              </w:rPr>
              <w:t>von I</w:t>
            </w:r>
            <w:r>
              <w:rPr>
                <w:rFonts w:ascii="Arial" w:cs="Arial" w:eastAsia="Arial" w:hAnsi="Arial"/>
                <w:sz w:val="21"/>
                <w:szCs w:val="21"/>
                <w:color w:val="auto"/>
                <w:w w:val="89"/>
                <w:vertAlign w:val="subscript"/>
              </w:rPr>
              <w:t>2</w:t>
            </w:r>
          </w:p>
        </w:tc>
        <w:tc>
          <w:tcPr>
            <w:tcW w:w="420" w:type="dxa"/>
            <w:vAlign w:val="bottom"/>
            <w:tcBorders>
              <w:right w:val="single" w:sz="8" w:color="auto"/>
            </w:tcBorders>
          </w:tcPr>
          <w:p>
            <w:pPr>
              <w:spacing w:after="0"/>
              <w:rPr>
                <w:sz w:val="17"/>
                <w:szCs w:val="17"/>
                <w:color w:val="auto"/>
              </w:rPr>
            </w:pPr>
          </w:p>
        </w:tc>
        <w:tc>
          <w:tcPr>
            <w:tcW w:w="1000" w:type="dxa"/>
            <w:vAlign w:val="bottom"/>
            <w:tcBorders>
              <w:bottom w:val="single" w:sz="8" w:color="auto"/>
              <w:right w:val="single" w:sz="8" w:color="auto"/>
            </w:tcBorders>
          </w:tcPr>
          <w:p>
            <w:pPr>
              <w:jc w:val="center"/>
              <w:spacing w:after="0" w:line="203" w:lineRule="exact"/>
              <w:rPr>
                <w:sz w:val="20"/>
                <w:szCs w:val="20"/>
                <w:color w:val="auto"/>
              </w:rPr>
            </w:pPr>
            <w:r>
              <w:rPr>
                <w:rFonts w:ascii="Arial" w:cs="Arial" w:eastAsia="Arial" w:hAnsi="Arial"/>
                <w:sz w:val="16"/>
                <w:szCs w:val="16"/>
                <w:color w:val="auto"/>
                <w:w w:val="89"/>
              </w:rPr>
              <w:t>von I</w:t>
            </w:r>
            <w:r>
              <w:rPr>
                <w:rFonts w:ascii="Arial" w:cs="Arial" w:eastAsia="Arial" w:hAnsi="Arial"/>
                <w:sz w:val="21"/>
                <w:szCs w:val="21"/>
                <w:color w:val="auto"/>
                <w:w w:val="89"/>
                <w:vertAlign w:val="subscript"/>
              </w:rPr>
              <w:t>2</w:t>
            </w:r>
          </w:p>
        </w:tc>
        <w:tc>
          <w:tcPr>
            <w:tcW w:w="420" w:type="dxa"/>
            <w:vAlign w:val="bottom"/>
            <w:tcBorders>
              <w:right w:val="single" w:sz="8" w:color="auto"/>
            </w:tcBorders>
          </w:tcPr>
          <w:p>
            <w:pPr>
              <w:spacing w:after="0"/>
              <w:rPr>
                <w:sz w:val="17"/>
                <w:szCs w:val="17"/>
                <w:color w:val="auto"/>
              </w:rPr>
            </w:pPr>
          </w:p>
        </w:tc>
        <w:tc>
          <w:tcPr>
            <w:tcW w:w="1000" w:type="dxa"/>
            <w:vAlign w:val="bottom"/>
            <w:tcBorders>
              <w:bottom w:val="single" w:sz="8" w:color="auto"/>
              <w:right w:val="single" w:sz="8" w:color="auto"/>
            </w:tcBorders>
          </w:tcPr>
          <w:p>
            <w:pPr>
              <w:jc w:val="center"/>
              <w:spacing w:after="0" w:line="203" w:lineRule="exact"/>
              <w:rPr>
                <w:sz w:val="20"/>
                <w:szCs w:val="20"/>
                <w:color w:val="auto"/>
              </w:rPr>
            </w:pPr>
            <w:r>
              <w:rPr>
                <w:rFonts w:ascii="Arial" w:cs="Arial" w:eastAsia="Arial" w:hAnsi="Arial"/>
                <w:sz w:val="16"/>
                <w:szCs w:val="16"/>
                <w:color w:val="auto"/>
                <w:w w:val="89"/>
              </w:rPr>
              <w:t>in I</w:t>
            </w:r>
            <w:r>
              <w:rPr>
                <w:rFonts w:ascii="Arial" w:cs="Arial" w:eastAsia="Arial" w:hAnsi="Arial"/>
                <w:sz w:val="21"/>
                <w:szCs w:val="21"/>
                <w:color w:val="auto"/>
                <w:w w:val="89"/>
                <w:vertAlign w:val="subscript"/>
              </w:rPr>
              <w:t>2</w:t>
            </w:r>
          </w:p>
        </w:tc>
        <w:tc>
          <w:tcPr>
            <w:tcW w:w="140" w:type="dxa"/>
            <w:vAlign w:val="bottom"/>
            <w:tcBorders>
              <w:right w:val="single" w:sz="8" w:color="auto"/>
            </w:tcBorders>
          </w:tcPr>
          <w:p>
            <w:pPr>
              <w:spacing w:after="0"/>
              <w:rPr>
                <w:sz w:val="17"/>
                <w:szCs w:val="17"/>
                <w:color w:val="auto"/>
              </w:rPr>
            </w:pPr>
          </w:p>
        </w:tc>
        <w:tc>
          <w:tcPr>
            <w:tcW w:w="1560" w:type="dxa"/>
            <w:vAlign w:val="bottom"/>
            <w:tcBorders>
              <w:right w:val="single" w:sz="8" w:color="auto"/>
            </w:tcBorders>
          </w:tcPr>
          <w:p>
            <w:pPr>
              <w:spacing w:after="0"/>
              <w:rPr>
                <w:sz w:val="17"/>
                <w:szCs w:val="17"/>
                <w:color w:val="auto"/>
              </w:rPr>
            </w:pPr>
          </w:p>
        </w:tc>
        <w:tc>
          <w:tcPr>
            <w:tcW w:w="104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6"/>
              </w:rPr>
              <w:t>Akzeptanz</w:t>
            </w:r>
          </w:p>
        </w:tc>
      </w:tr>
      <w:tr>
        <w:trPr>
          <w:trHeight w:val="123"/>
        </w:trPr>
        <w:tc>
          <w:tcPr>
            <w:tcW w:w="160" w:type="dxa"/>
            <w:vAlign w:val="bottom"/>
            <w:tcBorders>
              <w:left w:val="single" w:sz="8" w:color="auto"/>
              <w:bottom w:val="single" w:sz="8" w:color="auto"/>
            </w:tcBorders>
          </w:tcPr>
          <w:p>
            <w:pPr>
              <w:spacing w:after="0"/>
              <w:rPr>
                <w:sz w:val="10"/>
                <w:szCs w:val="10"/>
                <w:color w:val="auto"/>
              </w:rPr>
            </w:pPr>
          </w:p>
        </w:tc>
        <w:tc>
          <w:tcPr>
            <w:tcW w:w="172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140" w:type="dxa"/>
            <w:vAlign w:val="bottom"/>
            <w:tcBorders>
              <w:bottom w:val="single" w:sz="8" w:color="auto"/>
              <w:right w:val="single" w:sz="8" w:color="auto"/>
            </w:tcBorders>
          </w:tcPr>
          <w:p>
            <w:pPr>
              <w:spacing w:after="0"/>
              <w:rPr>
                <w:sz w:val="10"/>
                <w:szCs w:val="10"/>
                <w:color w:val="auto"/>
              </w:rPr>
            </w:pPr>
          </w:p>
        </w:tc>
        <w:tc>
          <w:tcPr>
            <w:tcW w:w="1560" w:type="dxa"/>
            <w:vAlign w:val="bottom"/>
          </w:tcPr>
          <w:p>
            <w:pPr>
              <w:spacing w:after="0"/>
              <w:rPr>
                <w:sz w:val="10"/>
                <w:szCs w:val="10"/>
                <w:color w:val="auto"/>
              </w:rPr>
            </w:pPr>
          </w:p>
        </w:tc>
        <w:tc>
          <w:tcPr>
            <w:tcW w:w="1040" w:type="dxa"/>
            <w:vAlign w:val="bottom"/>
          </w:tcPr>
          <w:p>
            <w:pPr>
              <w:spacing w:after="0"/>
              <w:rPr>
                <w:sz w:val="10"/>
                <w:szCs w:val="10"/>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921385</wp:posOffset>
            </wp:positionH>
            <wp:positionV relativeFrom="paragraph">
              <wp:posOffset>144145</wp:posOffset>
            </wp:positionV>
            <wp:extent cx="64135" cy="609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64135" cy="60960"/>
                    </a:xfrm>
                    <a:prstGeom prst="rect">
                      <a:avLst/>
                    </a:prstGeom>
                    <a:noFill/>
                  </pic:spPr>
                </pic:pic>
              </a:graphicData>
            </a:graphic>
          </wp:anchor>
        </w:drawing>
        <w:drawing>
          <wp:anchor simplePos="0" relativeHeight="251657728" behindDoc="1" locked="0" layoutInCell="0" allowOverlap="1">
            <wp:simplePos x="0" y="0"/>
            <wp:positionH relativeFrom="column">
              <wp:posOffset>921385</wp:posOffset>
            </wp:positionH>
            <wp:positionV relativeFrom="paragraph">
              <wp:posOffset>323215</wp:posOffset>
            </wp:positionV>
            <wp:extent cx="64135" cy="641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64135" cy="64135"/>
                    </a:xfrm>
                    <a:prstGeom prst="rect">
                      <a:avLst/>
                    </a:prstGeom>
                    <a:noFill/>
                  </pic:spPr>
                </pic:pic>
              </a:graphicData>
            </a:graphic>
          </wp:anchor>
        </w:drawing>
        <w:drawing>
          <wp:anchor simplePos="0" relativeHeight="251657728" behindDoc="1" locked="0" layoutInCell="0" allowOverlap="1">
            <wp:simplePos x="0" y="0"/>
            <wp:positionH relativeFrom="column">
              <wp:posOffset>4264025</wp:posOffset>
            </wp:positionH>
            <wp:positionV relativeFrom="paragraph">
              <wp:posOffset>-783590</wp:posOffset>
            </wp:positionV>
            <wp:extent cx="934720" cy="4425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extLst>
                    </a:blip>
                    <a:srcRect/>
                    <a:stretch>
                      <a:fillRect/>
                    </a:stretch>
                  </pic:blipFill>
                  <pic:spPr bwMode="auto">
                    <a:xfrm>
                      <a:off x="0" y="0"/>
                      <a:ext cx="934720" cy="442595"/>
                    </a:xfrm>
                    <a:prstGeom prst="rect">
                      <a:avLst/>
                    </a:prstGeom>
                    <a:noFill/>
                  </pic:spPr>
                </pic:pic>
              </a:graphicData>
            </a:graphic>
          </wp:anchor>
        </w:drawing>
        <w:drawing>
          <wp:anchor simplePos="0" relativeHeight="251657728" behindDoc="1" locked="0" layoutInCell="0" allowOverlap="1">
            <wp:simplePos x="0" y="0"/>
            <wp:positionH relativeFrom="column">
              <wp:posOffset>4264025</wp:posOffset>
            </wp:positionH>
            <wp:positionV relativeFrom="paragraph">
              <wp:posOffset>-273685</wp:posOffset>
            </wp:positionV>
            <wp:extent cx="934720" cy="10496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934720" cy="1049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tbl>
      <w:tblPr>
        <w:tblLayout w:type="fixed"/>
        <w:tblInd w:w="510" w:type="dxa"/>
        <w:tblCellMar>
          <w:top w:w="0" w:type="dxa"/>
          <w:left w:w="0" w:type="dxa"/>
          <w:bottom w:w="0" w:type="dxa"/>
          <w:right w:w="0" w:type="dxa"/>
        </w:tblCellMar>
      </w:tblPr>
      <w:tr>
        <w:trPr>
          <w:trHeight w:val="148"/>
        </w:trPr>
        <w:tc>
          <w:tcPr>
            <w:tcW w:w="160" w:type="dxa"/>
            <w:vAlign w:val="bottom"/>
            <w:tcBorders>
              <w:top w:val="single" w:sz="8" w:color="auto"/>
              <w:left w:val="single" w:sz="8" w:color="auto"/>
            </w:tcBorders>
          </w:tcPr>
          <w:p>
            <w:pPr>
              <w:spacing w:after="0"/>
              <w:rPr>
                <w:sz w:val="12"/>
                <w:szCs w:val="12"/>
                <w:color w:val="auto"/>
              </w:rPr>
            </w:pPr>
          </w:p>
        </w:tc>
        <w:tc>
          <w:tcPr>
            <w:tcW w:w="1720" w:type="dxa"/>
            <w:vAlign w:val="bottom"/>
            <w:tcBorders>
              <w:top w:val="single" w:sz="8" w:color="auto"/>
              <w:bottom w:val="single" w:sz="8" w:color="auto"/>
            </w:tcBorders>
          </w:tcPr>
          <w:p>
            <w:pPr>
              <w:spacing w:after="0"/>
              <w:rPr>
                <w:sz w:val="12"/>
                <w:szCs w:val="12"/>
                <w:color w:val="auto"/>
              </w:rPr>
            </w:pPr>
          </w:p>
        </w:tc>
        <w:tc>
          <w:tcPr>
            <w:tcW w:w="420" w:type="dxa"/>
            <w:vAlign w:val="bottom"/>
            <w:tcBorders>
              <w:top w:val="single" w:sz="8" w:color="auto"/>
            </w:tcBorders>
          </w:tcPr>
          <w:p>
            <w:pPr>
              <w:spacing w:after="0"/>
              <w:rPr>
                <w:sz w:val="12"/>
                <w:szCs w:val="12"/>
                <w:color w:val="auto"/>
              </w:rPr>
            </w:pPr>
          </w:p>
        </w:tc>
        <w:tc>
          <w:tcPr>
            <w:tcW w:w="980" w:type="dxa"/>
            <w:vAlign w:val="bottom"/>
            <w:tcBorders>
              <w:top w:val="single" w:sz="8" w:color="auto"/>
              <w:bottom w:val="single" w:sz="8" w:color="auto"/>
            </w:tcBorders>
          </w:tcPr>
          <w:p>
            <w:pPr>
              <w:spacing w:after="0"/>
              <w:rPr>
                <w:sz w:val="12"/>
                <w:szCs w:val="12"/>
                <w:color w:val="auto"/>
              </w:rPr>
            </w:pPr>
          </w:p>
        </w:tc>
        <w:tc>
          <w:tcPr>
            <w:tcW w:w="420" w:type="dxa"/>
            <w:vAlign w:val="bottom"/>
            <w:tcBorders>
              <w:top w:val="single" w:sz="8" w:color="auto"/>
            </w:tcBorders>
          </w:tcPr>
          <w:p>
            <w:pPr>
              <w:spacing w:after="0"/>
              <w:rPr>
                <w:sz w:val="12"/>
                <w:szCs w:val="12"/>
                <w:color w:val="auto"/>
              </w:rPr>
            </w:pPr>
          </w:p>
        </w:tc>
        <w:tc>
          <w:tcPr>
            <w:tcW w:w="1000" w:type="dxa"/>
            <w:vAlign w:val="bottom"/>
            <w:tcBorders>
              <w:top w:val="single" w:sz="8" w:color="auto"/>
              <w:bottom w:val="single" w:sz="8" w:color="auto"/>
            </w:tcBorders>
          </w:tcPr>
          <w:p>
            <w:pPr>
              <w:spacing w:after="0"/>
              <w:rPr>
                <w:sz w:val="12"/>
                <w:szCs w:val="12"/>
                <w:color w:val="auto"/>
              </w:rPr>
            </w:pPr>
          </w:p>
        </w:tc>
        <w:tc>
          <w:tcPr>
            <w:tcW w:w="420" w:type="dxa"/>
            <w:vAlign w:val="bottom"/>
            <w:tcBorders>
              <w:top w:val="single" w:sz="8" w:color="auto"/>
            </w:tcBorders>
          </w:tcPr>
          <w:p>
            <w:pPr>
              <w:spacing w:after="0"/>
              <w:rPr>
                <w:sz w:val="12"/>
                <w:szCs w:val="12"/>
                <w:color w:val="auto"/>
              </w:rPr>
            </w:pPr>
          </w:p>
        </w:tc>
        <w:tc>
          <w:tcPr>
            <w:tcW w:w="1000" w:type="dxa"/>
            <w:vAlign w:val="bottom"/>
            <w:tcBorders>
              <w:top w:val="single" w:sz="8" w:color="auto"/>
              <w:bottom w:val="single" w:sz="8" w:color="auto"/>
            </w:tcBorders>
          </w:tcPr>
          <w:p>
            <w:pPr>
              <w:spacing w:after="0"/>
              <w:rPr>
                <w:sz w:val="12"/>
                <w:szCs w:val="12"/>
                <w:color w:val="auto"/>
              </w:rPr>
            </w:pPr>
          </w:p>
        </w:tc>
        <w:tc>
          <w:tcPr>
            <w:tcW w:w="140" w:type="dxa"/>
            <w:vAlign w:val="bottom"/>
            <w:tcBorders>
              <w:top w:val="single" w:sz="8" w:color="auto"/>
              <w:right w:val="single" w:sz="8" w:color="auto"/>
            </w:tcBorders>
          </w:tcPr>
          <w:p>
            <w:pPr>
              <w:spacing w:after="0"/>
              <w:rPr>
                <w:sz w:val="12"/>
                <w:szCs w:val="12"/>
                <w:color w:val="auto"/>
              </w:rPr>
            </w:pPr>
          </w:p>
        </w:tc>
      </w:tr>
      <w:tr>
        <w:trPr>
          <w:trHeight w:val="194"/>
        </w:trPr>
        <w:tc>
          <w:tcPr>
            <w:tcW w:w="160" w:type="dxa"/>
            <w:vAlign w:val="bottom"/>
            <w:tcBorders>
              <w:left w:val="single" w:sz="8" w:color="auto"/>
              <w:right w:val="single" w:sz="8" w:color="auto"/>
            </w:tcBorders>
          </w:tcPr>
          <w:p>
            <w:pPr>
              <w:spacing w:after="0"/>
              <w:rPr>
                <w:sz w:val="16"/>
                <w:szCs w:val="16"/>
                <w:color w:val="auto"/>
              </w:rPr>
            </w:pPr>
          </w:p>
        </w:tc>
        <w:tc>
          <w:tcPr>
            <w:tcW w:w="17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8"/>
              </w:rPr>
              <w:t>Position von</w:t>
            </w:r>
          </w:p>
        </w:tc>
        <w:tc>
          <w:tcPr>
            <w:tcW w:w="420" w:type="dxa"/>
            <w:vAlign w:val="bottom"/>
            <w:tcBorders>
              <w:right w:val="single" w:sz="8" w:color="auto"/>
            </w:tcBorders>
          </w:tcPr>
          <w:p>
            <w:pPr>
              <w:ind w:left="120"/>
              <w:spacing w:after="0" w:line="193" w:lineRule="exact"/>
              <w:rPr>
                <w:sz w:val="20"/>
                <w:szCs w:val="20"/>
                <w:color w:val="auto"/>
              </w:rPr>
            </w:pPr>
            <w:r>
              <w:rPr>
                <w:rFonts w:ascii="Arial" w:cs="Arial" w:eastAsia="Arial" w:hAnsi="Arial"/>
                <w:sz w:val="22"/>
                <w:szCs w:val="22"/>
                <w:color w:val="auto"/>
              </w:rPr>
              <w:t>x</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8"/>
              </w:rPr>
              <w:t>Relevanz</w:t>
            </w:r>
          </w:p>
        </w:tc>
        <w:tc>
          <w:tcPr>
            <w:tcW w:w="420" w:type="dxa"/>
            <w:vAlign w:val="bottom"/>
            <w:tcBorders>
              <w:right w:val="single" w:sz="8" w:color="auto"/>
            </w:tcBorders>
          </w:tcPr>
          <w:p>
            <w:pPr>
              <w:ind w:left="140"/>
              <w:spacing w:after="0" w:line="193" w:lineRule="exact"/>
              <w:rPr>
                <w:sz w:val="20"/>
                <w:szCs w:val="20"/>
                <w:color w:val="auto"/>
              </w:rPr>
            </w:pPr>
            <w:r>
              <w:rPr>
                <w:rFonts w:ascii="Arial" w:cs="Arial" w:eastAsia="Arial" w:hAnsi="Arial"/>
                <w:sz w:val="22"/>
                <w:szCs w:val="22"/>
                <w:color w:val="auto"/>
              </w:rPr>
              <w:t>x</w:t>
            </w:r>
          </w:p>
        </w:tc>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8"/>
              </w:rPr>
              <w:t>Kompetenz</w:t>
            </w:r>
          </w:p>
        </w:tc>
        <w:tc>
          <w:tcPr>
            <w:tcW w:w="420" w:type="dxa"/>
            <w:vAlign w:val="bottom"/>
            <w:tcBorders>
              <w:right w:val="single" w:sz="8" w:color="auto"/>
            </w:tcBorders>
          </w:tcPr>
          <w:p>
            <w:pPr>
              <w:ind w:left="140"/>
              <w:spacing w:after="0" w:line="193" w:lineRule="exact"/>
              <w:rPr>
                <w:sz w:val="20"/>
                <w:szCs w:val="20"/>
                <w:color w:val="auto"/>
              </w:rPr>
            </w:pPr>
            <w:r>
              <w:rPr>
                <w:rFonts w:ascii="Arial" w:cs="Arial" w:eastAsia="Arial" w:hAnsi="Arial"/>
                <w:sz w:val="22"/>
                <w:szCs w:val="22"/>
                <w:color w:val="auto"/>
              </w:rPr>
              <w:t>x</w:t>
            </w:r>
          </w:p>
        </w:tc>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w w:val="99"/>
              </w:rPr>
              <w:t>Vertrauen</w:t>
            </w:r>
          </w:p>
        </w:tc>
        <w:tc>
          <w:tcPr>
            <w:tcW w:w="140" w:type="dxa"/>
            <w:vAlign w:val="bottom"/>
            <w:tcBorders>
              <w:right w:val="single" w:sz="8" w:color="auto"/>
            </w:tcBorders>
          </w:tcPr>
          <w:p>
            <w:pPr>
              <w:spacing w:after="0"/>
              <w:rPr>
                <w:sz w:val="16"/>
                <w:szCs w:val="16"/>
                <w:color w:val="auto"/>
              </w:rPr>
            </w:pPr>
          </w:p>
        </w:tc>
      </w:tr>
      <w:tr>
        <w:trPr>
          <w:trHeight w:val="208"/>
        </w:trPr>
        <w:tc>
          <w:tcPr>
            <w:tcW w:w="160" w:type="dxa"/>
            <w:vAlign w:val="bottom"/>
            <w:tcBorders>
              <w:left w:val="single" w:sz="8" w:color="auto"/>
              <w:right w:val="single" w:sz="8" w:color="auto"/>
            </w:tcBorders>
          </w:tcPr>
          <w:p>
            <w:pPr>
              <w:spacing w:after="0"/>
              <w:rPr>
                <w:sz w:val="18"/>
                <w:szCs w:val="18"/>
                <w:color w:val="auto"/>
              </w:rPr>
            </w:pPr>
          </w:p>
        </w:tc>
        <w:tc>
          <w:tcPr>
            <w:tcW w:w="17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8"/>
              </w:rPr>
              <w:t>Informationsquelle n</w:t>
            </w:r>
          </w:p>
        </w:tc>
        <w:tc>
          <w:tcPr>
            <w:tcW w:w="420" w:type="dxa"/>
            <w:vAlign w:val="bottom"/>
            <w:tcBorders>
              <w:right w:val="single" w:sz="8" w:color="auto"/>
            </w:tcBorders>
          </w:tcPr>
          <w:p>
            <w:pPr>
              <w:spacing w:after="0"/>
              <w:rPr>
                <w:sz w:val="18"/>
                <w:szCs w:val="18"/>
                <w:color w:val="auto"/>
              </w:rPr>
            </w:pPr>
          </w:p>
        </w:tc>
        <w:tc>
          <w:tcPr>
            <w:tcW w:w="980" w:type="dxa"/>
            <w:vAlign w:val="bottom"/>
            <w:tcBorders>
              <w:bottom w:val="single" w:sz="8" w:color="auto"/>
              <w:right w:val="single" w:sz="8" w:color="auto"/>
            </w:tcBorders>
          </w:tcPr>
          <w:p>
            <w:pPr>
              <w:jc w:val="center"/>
              <w:spacing w:after="0" w:line="208" w:lineRule="exact"/>
              <w:rPr>
                <w:sz w:val="20"/>
                <w:szCs w:val="20"/>
                <w:color w:val="auto"/>
              </w:rPr>
            </w:pPr>
            <w:r>
              <w:rPr>
                <w:rFonts w:ascii="Arial" w:cs="Arial" w:eastAsia="Arial" w:hAnsi="Arial"/>
                <w:sz w:val="16"/>
                <w:szCs w:val="16"/>
                <w:color w:val="auto"/>
                <w:w w:val="89"/>
              </w:rPr>
              <w:t>von I</w:t>
            </w:r>
            <w:r>
              <w:rPr>
                <w:rFonts w:ascii="Arial" w:cs="Arial" w:eastAsia="Arial" w:hAnsi="Arial"/>
                <w:sz w:val="21"/>
                <w:szCs w:val="21"/>
                <w:color w:val="auto"/>
                <w:w w:val="89"/>
                <w:vertAlign w:val="subscript"/>
              </w:rPr>
              <w:t>n</w:t>
            </w:r>
          </w:p>
        </w:tc>
        <w:tc>
          <w:tcPr>
            <w:tcW w:w="420" w:type="dxa"/>
            <w:vAlign w:val="bottom"/>
            <w:tcBorders>
              <w:right w:val="single" w:sz="8" w:color="auto"/>
            </w:tcBorders>
          </w:tcPr>
          <w:p>
            <w:pPr>
              <w:spacing w:after="0"/>
              <w:rPr>
                <w:sz w:val="18"/>
                <w:szCs w:val="18"/>
                <w:color w:val="auto"/>
              </w:rPr>
            </w:pPr>
          </w:p>
        </w:tc>
        <w:tc>
          <w:tcPr>
            <w:tcW w:w="1000" w:type="dxa"/>
            <w:vAlign w:val="bottom"/>
            <w:tcBorders>
              <w:bottom w:val="single" w:sz="8" w:color="auto"/>
              <w:right w:val="single" w:sz="8" w:color="auto"/>
            </w:tcBorders>
          </w:tcPr>
          <w:p>
            <w:pPr>
              <w:jc w:val="center"/>
              <w:spacing w:after="0" w:line="208" w:lineRule="exact"/>
              <w:rPr>
                <w:sz w:val="20"/>
                <w:szCs w:val="20"/>
                <w:color w:val="auto"/>
              </w:rPr>
            </w:pPr>
            <w:r>
              <w:rPr>
                <w:rFonts w:ascii="Arial" w:cs="Arial" w:eastAsia="Arial" w:hAnsi="Arial"/>
                <w:sz w:val="16"/>
                <w:szCs w:val="16"/>
                <w:color w:val="auto"/>
                <w:w w:val="89"/>
              </w:rPr>
              <w:t>von I</w:t>
            </w:r>
            <w:r>
              <w:rPr>
                <w:rFonts w:ascii="Arial" w:cs="Arial" w:eastAsia="Arial" w:hAnsi="Arial"/>
                <w:sz w:val="21"/>
                <w:szCs w:val="21"/>
                <w:color w:val="auto"/>
                <w:w w:val="89"/>
                <w:vertAlign w:val="subscript"/>
              </w:rPr>
              <w:t>n</w:t>
            </w:r>
          </w:p>
        </w:tc>
        <w:tc>
          <w:tcPr>
            <w:tcW w:w="420" w:type="dxa"/>
            <w:vAlign w:val="bottom"/>
            <w:tcBorders>
              <w:right w:val="single" w:sz="8" w:color="auto"/>
            </w:tcBorders>
          </w:tcPr>
          <w:p>
            <w:pPr>
              <w:spacing w:after="0"/>
              <w:rPr>
                <w:sz w:val="18"/>
                <w:szCs w:val="18"/>
                <w:color w:val="auto"/>
              </w:rPr>
            </w:pPr>
          </w:p>
        </w:tc>
        <w:tc>
          <w:tcPr>
            <w:tcW w:w="1000" w:type="dxa"/>
            <w:vAlign w:val="bottom"/>
            <w:tcBorders>
              <w:bottom w:val="single" w:sz="8" w:color="auto"/>
              <w:right w:val="single" w:sz="8" w:color="auto"/>
            </w:tcBorders>
          </w:tcPr>
          <w:p>
            <w:pPr>
              <w:jc w:val="center"/>
              <w:spacing w:after="0" w:line="208" w:lineRule="exact"/>
              <w:rPr>
                <w:sz w:val="20"/>
                <w:szCs w:val="20"/>
                <w:color w:val="auto"/>
              </w:rPr>
            </w:pPr>
            <w:r>
              <w:rPr>
                <w:rFonts w:ascii="Arial" w:cs="Arial" w:eastAsia="Arial" w:hAnsi="Arial"/>
                <w:sz w:val="16"/>
                <w:szCs w:val="16"/>
                <w:color w:val="auto"/>
                <w:w w:val="89"/>
              </w:rPr>
              <w:t>in I</w:t>
            </w:r>
            <w:r>
              <w:rPr>
                <w:rFonts w:ascii="Arial" w:cs="Arial" w:eastAsia="Arial" w:hAnsi="Arial"/>
                <w:sz w:val="21"/>
                <w:szCs w:val="21"/>
                <w:color w:val="auto"/>
                <w:w w:val="89"/>
                <w:vertAlign w:val="subscript"/>
              </w:rPr>
              <w:t>n</w:t>
            </w:r>
          </w:p>
        </w:tc>
        <w:tc>
          <w:tcPr>
            <w:tcW w:w="140" w:type="dxa"/>
            <w:vAlign w:val="bottom"/>
            <w:tcBorders>
              <w:right w:val="single" w:sz="8" w:color="auto"/>
            </w:tcBorders>
          </w:tcPr>
          <w:p>
            <w:pPr>
              <w:spacing w:after="0"/>
              <w:rPr>
                <w:sz w:val="18"/>
                <w:szCs w:val="18"/>
                <w:color w:val="auto"/>
              </w:rPr>
            </w:pPr>
          </w:p>
        </w:tc>
      </w:tr>
      <w:tr>
        <w:trPr>
          <w:trHeight w:val="118"/>
        </w:trPr>
        <w:tc>
          <w:tcPr>
            <w:tcW w:w="160" w:type="dxa"/>
            <w:vAlign w:val="bottom"/>
            <w:tcBorders>
              <w:left w:val="single" w:sz="8" w:color="auto"/>
              <w:bottom w:val="single" w:sz="8" w:color="auto"/>
            </w:tcBorders>
          </w:tcPr>
          <w:p>
            <w:pPr>
              <w:spacing w:after="0"/>
              <w:rPr>
                <w:sz w:val="10"/>
                <w:szCs w:val="10"/>
                <w:color w:val="auto"/>
              </w:rPr>
            </w:pPr>
          </w:p>
        </w:tc>
        <w:tc>
          <w:tcPr>
            <w:tcW w:w="172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98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420" w:type="dxa"/>
            <w:vAlign w:val="bottom"/>
            <w:tcBorders>
              <w:bottom w:val="single" w:sz="8" w:color="auto"/>
            </w:tcBorders>
          </w:tcPr>
          <w:p>
            <w:pPr>
              <w:spacing w:after="0"/>
              <w:rPr>
                <w:sz w:val="10"/>
                <w:szCs w:val="10"/>
                <w:color w:val="auto"/>
              </w:rPr>
            </w:pPr>
          </w:p>
        </w:tc>
        <w:tc>
          <w:tcPr>
            <w:tcW w:w="1000" w:type="dxa"/>
            <w:vAlign w:val="bottom"/>
            <w:tcBorders>
              <w:bottom w:val="single" w:sz="8" w:color="auto"/>
            </w:tcBorders>
          </w:tcPr>
          <w:p>
            <w:pPr>
              <w:spacing w:after="0"/>
              <w:rPr>
                <w:sz w:val="10"/>
                <w:szCs w:val="10"/>
                <w:color w:val="auto"/>
              </w:rPr>
            </w:pPr>
          </w:p>
        </w:tc>
        <w:tc>
          <w:tcPr>
            <w:tcW w:w="140" w:type="dxa"/>
            <w:vAlign w:val="bottom"/>
            <w:tcBorders>
              <w:bottom w:val="single" w:sz="8" w:color="auto"/>
              <w:right w:val="single" w:sz="8" w:color="auto"/>
            </w:tcBorders>
          </w:tcPr>
          <w:p>
            <w:pPr>
              <w:spacing w:after="0"/>
              <w:rPr>
                <w:sz w:val="10"/>
                <w:szCs w:val="10"/>
                <w:color w:val="auto"/>
              </w:rPr>
            </w:pPr>
          </w:p>
        </w:tc>
      </w:tr>
    </w:tbl>
    <w:p>
      <w:pPr>
        <w:spacing w:after="0" w:line="200" w:lineRule="exact"/>
        <w:rPr>
          <w:sz w:val="20"/>
          <w:szCs w:val="20"/>
          <w:color w:val="auto"/>
        </w:rPr>
      </w:pPr>
    </w:p>
    <w:p>
      <w:pPr>
        <w:spacing w:after="0" w:line="220" w:lineRule="exact"/>
        <w:rPr>
          <w:sz w:val="20"/>
          <w:szCs w:val="20"/>
          <w:color w:val="auto"/>
        </w:rPr>
      </w:pPr>
    </w:p>
    <w:p>
      <w:pPr>
        <w:jc w:val="both"/>
        <w:ind w:left="440" w:right="20" w:firstLine="283"/>
        <w:spacing w:after="0" w:line="384" w:lineRule="auto"/>
        <w:rPr>
          <w:sz w:val="20"/>
          <w:szCs w:val="20"/>
          <w:color w:val="auto"/>
        </w:rPr>
      </w:pPr>
      <w:r>
        <w:rPr>
          <w:rFonts w:ascii="Times New Roman" w:cs="Times New Roman" w:eastAsia="Times New Roman" w:hAnsi="Times New Roman"/>
          <w:sz w:val="23"/>
          <w:szCs w:val="23"/>
          <w:color w:val="auto"/>
        </w:rPr>
        <w:t xml:space="preserve">Chaiken et al. (1989) formulieren in diesem Zusammenhang die so genannte „enhancement Hypothese“. Sie besagt, dass der Einfluss heuristischer cues auf die Einstellung zum einen dann erhöht wird, wenn die Verfügbarkeit der entsprechenden Heuristik beim Individuum erhöht ist. Mit steigender Motivation bei mangelnder Fähigkeit nimmt die Wahrscheinlichkeit zu, dass </w:t>
      </w:r>
      <w:r>
        <w:rPr>
          <w:rFonts w:ascii="Times New Roman" w:cs="Times New Roman" w:eastAsia="Times New Roman" w:hAnsi="Times New Roman"/>
          <w:sz w:val="23"/>
          <w:szCs w:val="23"/>
          <w:b w:val="1"/>
          <w:bCs w:val="1"/>
          <w:color w:val="auto"/>
        </w:rPr>
        <w:t xml:space="preserve">relevante </w:t>
      </w:r>
      <w:r>
        <w:rPr>
          <w:rFonts w:ascii="Times New Roman" w:cs="Times New Roman" w:eastAsia="Times New Roman" w:hAnsi="Times New Roman"/>
          <w:sz w:val="23"/>
          <w:szCs w:val="23"/>
          <w:color w:val="auto"/>
        </w:rPr>
        <w:t>Heuristiken verfügbar sind, da das Individuum zur Erreichung der relativ hohen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sufficiency threshold auf relevante Heuristiken angewiesen ist und daher eher nach diesen im Gedächtnis sucht. Entsprechend steigt der Einfluss relevanter heuristischer cues in der Situation auf das Einstellungsurteil. Zum anderen wird das Individuum die Situation intensiver hinsicht-lich solcher cues untersuchen, die eine Diagnostizität für die Qualität der Argumente besitzen, als dies bei Personen geringer Motivation der Fall sein wird. Beides zusammen erhöht also den Einfluss heuristischer cues auf die Einstellungsbildung, allerdings nur dann, wenn diese eine entsprechende Urteilsrelevanz besitzen.</w:t>
      </w:r>
    </w:p>
    <w:p>
      <w:pPr>
        <w:spacing w:after="0" w:line="36" w:lineRule="exact"/>
        <w:rPr>
          <w:sz w:val="20"/>
          <w:szCs w:val="20"/>
          <w:color w:val="auto"/>
        </w:rPr>
      </w:pPr>
    </w:p>
    <w:p>
      <w:pPr>
        <w:jc w:val="both"/>
        <w:ind w:left="440" w:right="20" w:firstLine="283"/>
        <w:spacing w:after="0" w:line="384" w:lineRule="auto"/>
        <w:rPr>
          <w:sz w:val="20"/>
          <w:szCs w:val="20"/>
          <w:color w:val="auto"/>
        </w:rPr>
      </w:pPr>
      <w:r>
        <w:rPr>
          <w:rFonts w:ascii="Times New Roman" w:cs="Times New Roman" w:eastAsia="Times New Roman" w:hAnsi="Times New Roman"/>
          <w:sz w:val="23"/>
          <w:szCs w:val="23"/>
          <w:color w:val="auto"/>
        </w:rPr>
        <w:t>So zeigt etwa eine Untersuchung von Chaiken/Maheswaran (1994), dass die Einstellungs-bildung wie erwartet bei geringer Wichtigkeit (Motivation) lediglich durch heuristische Prozes-se determiniert ist. Diese spielen ebenfalls bei hoher Wichtigkeit eine Rolle (Additivitätshypo-these), allerdings nur dann, wenn die Informationen mehrdeutig sind, da Personen hoher Moti-vation dann auf den heuristischen cue zurückgreifen, um die Informationen zu disambiguieren. Chaiken/Maheswaran (1994) fanden bei eindeutigen Informationen und hoher Motivation zwar einen direkten Effekt der heuristischen Verarbeitung auf die Einstellung, jedoch war die Ein-stellung in erster Linie durch systematische Prozesse determiniert. Anders verhielt es sich bei mehrdeutigen Informationen und hoher Motivation. Hier zeigte sich zum einen, dass der direkte Effekt des heuristischen cues auf das Einstellungsurteil höher und die Bedeutung der systemati-</w:t>
      </w:r>
    </w:p>
    <w:p>
      <w:pPr>
        <w:sectPr>
          <w:pgSz w:w="11900" w:h="16840" w:orient="portrait"/>
          <w:cols w:equalWidth="0" w:num="1">
            <w:col w:w="9360"/>
          </w:cols>
          <w:pgMar w:left="1440" w:top="835" w:right="1100" w:bottom="707" w:gutter="0" w:footer="0" w:header="0"/>
        </w:sectPr>
      </w:pPr>
    </w:p>
    <w:bookmarkStart w:id="9" w:name="page10"/>
    <w:bookmarkEnd w:id="9"/>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8</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79" w:lineRule="auto"/>
        <w:rPr>
          <w:sz w:val="20"/>
          <w:szCs w:val="20"/>
          <w:color w:val="auto"/>
        </w:rPr>
      </w:pPr>
      <w:r>
        <w:rPr>
          <w:rFonts w:ascii="Times New Roman" w:cs="Times New Roman" w:eastAsia="Times New Roman" w:hAnsi="Times New Roman"/>
          <w:sz w:val="24"/>
          <w:szCs w:val="24"/>
          <w:color w:val="auto"/>
        </w:rPr>
        <w:t>schen Prozesse geringer ist. Gleichzeitig kam es aber auch zu verzerrten systematischen Prozes-sen, d.h. die heuristischen Prozesse nehmen Einfluss auf die systematische Verarbeitung der Informationen.</w:t>
      </w:r>
    </w:p>
    <w:p>
      <w:pPr>
        <w:spacing w:after="0" w:line="32" w:lineRule="exact"/>
        <w:rPr>
          <w:sz w:val="20"/>
          <w:szCs w:val="20"/>
          <w:color w:val="auto"/>
        </w:rPr>
      </w:pPr>
    </w:p>
    <w:p>
      <w:pPr>
        <w:jc w:val="both"/>
        <w:ind w:left="440" w:firstLine="283"/>
        <w:spacing w:after="0" w:line="383" w:lineRule="auto"/>
        <w:rPr>
          <w:sz w:val="20"/>
          <w:szCs w:val="20"/>
          <w:color w:val="auto"/>
        </w:rPr>
      </w:pPr>
      <w:r>
        <w:rPr>
          <w:rFonts w:ascii="Times New Roman" w:cs="Times New Roman" w:eastAsia="Times New Roman" w:hAnsi="Times New Roman"/>
          <w:sz w:val="23"/>
          <w:szCs w:val="23"/>
          <w:color w:val="auto"/>
        </w:rPr>
        <w:t>Bei Eagly/Chaiken (1993: 335f) wird eine Studie von Hazlewood/Chaiken (1990) dar-gestellt, die die Bedeutung der Reliabilität von Heuristiken untersucht. Darin wurde Studieren-den mitgeteilt, dass bestimmte Prüfungen entweder nächstes Jahr (hohe Relevanz) oder im nächsten Jahrzehnt (geringe Relevanz) eingeführt werden sollten. Als heuristischer cue diente die Konsensusinformation, dass 80% von befragten Studierenden diesem zustimmten (vs. nicht zustimmten). Die Reliabilität dieser Information wurde mittels der Samplegröße variiert (10 vs. 1000). Die Analyse der Daten zeigte, dass Personen mit niedriger Motivation ungeachtet der Samplegröße bei der Einstellungsbildung auf die Konsensusheuristik zurückgreifen. Dagegen berücksichtigen Personen hoher Motivation die Reliabilität des heuristischen cues. Wenn die Konsensusinformation auf dem kleinen Sample basierte, hatte es keinen Einfluss auf die Ein-stellungsbildung. Lediglich wenn die Konsensinformation auf dem großen Sample beruhte, erzeugte dies eine positivere Einstellung der Befragten.</w:t>
      </w:r>
    </w:p>
    <w:p>
      <w:pPr>
        <w:spacing w:after="0" w:line="44" w:lineRule="exact"/>
        <w:rPr>
          <w:sz w:val="20"/>
          <w:szCs w:val="20"/>
          <w:color w:val="auto"/>
        </w:rPr>
      </w:pPr>
    </w:p>
    <w:p>
      <w:pPr>
        <w:jc w:val="both"/>
        <w:ind w:left="440" w:firstLine="283"/>
        <w:spacing w:after="0" w:line="379" w:lineRule="auto"/>
        <w:rPr>
          <w:sz w:val="20"/>
          <w:szCs w:val="20"/>
          <w:color w:val="auto"/>
        </w:rPr>
      </w:pPr>
      <w:r>
        <w:rPr>
          <w:rFonts w:ascii="Times New Roman" w:cs="Times New Roman" w:eastAsia="Times New Roman" w:hAnsi="Times New Roman"/>
          <w:sz w:val="24"/>
          <w:szCs w:val="24"/>
          <w:color w:val="auto"/>
        </w:rPr>
        <w:t>Übertragen wir die obige Argumentation und die Befunde aus der Persuationsforschung auf die Einstellungsbildung gegenüber der Gentechnik und ihren Anwendungen sowie auf die Rolle von Vertrauen in diesem Prozess:</w:t>
      </w:r>
    </w:p>
    <w:p>
      <w:pPr>
        <w:spacing w:after="0" w:line="32" w:lineRule="exact"/>
        <w:rPr>
          <w:sz w:val="20"/>
          <w:szCs w:val="20"/>
          <w:color w:val="auto"/>
        </w:rPr>
      </w:pPr>
    </w:p>
    <w:p>
      <w:pPr>
        <w:jc w:val="both"/>
        <w:ind w:left="440" w:firstLine="283"/>
        <w:spacing w:after="0" w:line="369" w:lineRule="auto"/>
        <w:rPr>
          <w:sz w:val="20"/>
          <w:szCs w:val="20"/>
          <w:color w:val="auto"/>
        </w:rPr>
      </w:pPr>
      <w:r>
        <w:rPr>
          <w:rFonts w:ascii="Times New Roman" w:cs="Times New Roman" w:eastAsia="Times New Roman" w:hAnsi="Times New Roman"/>
          <w:sz w:val="24"/>
          <w:szCs w:val="24"/>
          <w:color w:val="auto"/>
        </w:rPr>
        <w:t>Wenn Personen mangels direkter Erfahrung und hoher Komplexität des Gegenstandes „Gentechnik“ die Fähigkeit fehlt, ihre Einstellung systematisch zu bilden, sind sie bei der Einstellungsbildung auf heuristische Prozesse angewiesen. Da bei der Diskussion um die Gentechnik und ihre Anwendungen vor allem auch Risiken im Vordergrund stehen (i.S. von potentiellen Vorteilen und Gefahren), die allerdings nur sehr schwer einzuschätzen sind, sind Personen bei ihrer Meinungsbildung auf die Informationen oder auch lediglich auf die Meta-Information, welche Position eine externe Quelle einnimmt, angewiesen.</w:t>
      </w:r>
    </w:p>
    <w:p>
      <w:pPr>
        <w:spacing w:after="0" w:line="44" w:lineRule="exact"/>
        <w:rPr>
          <w:sz w:val="20"/>
          <w:szCs w:val="20"/>
          <w:color w:val="auto"/>
        </w:rPr>
      </w:pPr>
    </w:p>
    <w:p>
      <w:pPr>
        <w:jc w:val="both"/>
        <w:ind w:left="440" w:firstLine="283"/>
        <w:spacing w:after="0" w:line="372" w:lineRule="auto"/>
        <w:rPr>
          <w:sz w:val="20"/>
          <w:szCs w:val="20"/>
          <w:color w:val="auto"/>
        </w:rPr>
      </w:pPr>
      <w:r>
        <w:rPr>
          <w:rFonts w:ascii="Times New Roman" w:cs="Times New Roman" w:eastAsia="Times New Roman" w:hAnsi="Times New Roman"/>
          <w:sz w:val="24"/>
          <w:szCs w:val="24"/>
          <w:color w:val="auto"/>
        </w:rPr>
        <w:t>Externe Quellen unterscheiden sich hinsichtlich ihrer Relevanz, ihrer Kompetenz und ihrer Vertrauenswürdigkeit. Deshalb kann vermutet werden, dass im Falle hoher Motivation beim Individuum bei gleichzeitig mangelnder Fähigkeit ein systematisches Abwägen zwischen den Positionen der externen Quellen erfolgt. Es erfolgt quasi eine Gewichtung der Positionsinfor-mationen mit den Faktoren Relevanz, Kompetenz und Vertrauen.</w:t>
      </w:r>
    </w:p>
    <w:p>
      <w:pPr>
        <w:spacing w:after="0" w:line="38" w:lineRule="exact"/>
        <w:rPr>
          <w:sz w:val="20"/>
          <w:szCs w:val="20"/>
          <w:color w:val="auto"/>
        </w:rPr>
      </w:pPr>
    </w:p>
    <w:p>
      <w:pPr>
        <w:jc w:val="both"/>
        <w:ind w:left="440" w:firstLine="283"/>
        <w:spacing w:after="0" w:line="423" w:lineRule="auto"/>
        <w:rPr>
          <w:sz w:val="20"/>
          <w:szCs w:val="20"/>
          <w:color w:val="auto"/>
        </w:rPr>
      </w:pPr>
      <w:r>
        <w:rPr>
          <w:rFonts w:ascii="Times New Roman" w:cs="Times New Roman" w:eastAsia="Times New Roman" w:hAnsi="Times New Roman"/>
          <w:sz w:val="23"/>
          <w:szCs w:val="23"/>
          <w:color w:val="auto"/>
        </w:rPr>
        <w:t>Fassen wir noch einmal zusammen: die Wahrnehmung neuer Technologien in der allgemei-nen Bevölkerung, wie z.B. der Gentechnik und ihrer Anwendungen, ist durch zwei Eigen-</w:t>
      </w:r>
    </w:p>
    <w:p>
      <w:pPr>
        <w:sectPr>
          <w:pgSz w:w="11900" w:h="16840" w:orient="portrait"/>
          <w:cols w:equalWidth="0" w:num="1">
            <w:col w:w="9340"/>
          </w:cols>
          <w:pgMar w:left="1440" w:top="835" w:right="1120" w:bottom="657" w:gutter="0" w:footer="0" w:header="0"/>
        </w:sectPr>
      </w:pPr>
    </w:p>
    <w:bookmarkStart w:id="10" w:name="page11"/>
    <w:bookmarkEnd w:id="10"/>
    <w:tbl>
      <w:tblPr>
        <w:tblLayout w:type="fixed"/>
        <w:tblInd w:w="440" w:type="dxa"/>
        <w:tblCellMar>
          <w:top w:w="0" w:type="dxa"/>
          <w:left w:w="0" w:type="dxa"/>
          <w:bottom w:w="0" w:type="dxa"/>
          <w:right w:w="0" w:type="dxa"/>
        </w:tblCellMar>
      </w:tblPr>
      <w:tr>
        <w:trPr>
          <w:trHeight w:val="286"/>
        </w:trPr>
        <w:tc>
          <w:tcPr>
            <w:tcW w:w="758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9</w:t>
            </w:r>
          </w:p>
        </w:tc>
      </w:tr>
      <w:tr>
        <w:trPr>
          <w:trHeight w:val="58"/>
        </w:trPr>
        <w:tc>
          <w:tcPr>
            <w:tcW w:w="758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79" w:lineRule="auto"/>
        <w:rPr>
          <w:sz w:val="20"/>
          <w:szCs w:val="20"/>
          <w:color w:val="auto"/>
        </w:rPr>
      </w:pPr>
      <w:r>
        <w:rPr>
          <w:rFonts w:ascii="Times New Roman" w:cs="Times New Roman" w:eastAsia="Times New Roman" w:hAnsi="Times New Roman"/>
          <w:sz w:val="24"/>
          <w:szCs w:val="24"/>
          <w:color w:val="auto"/>
        </w:rPr>
        <w:t>schaften gekennzeichnet: hohe Komplexität des Gegenstandes und geringe direkte Erfahrung mit entsprechenden Anwendungen und Produkten. Demnach wäre zu fragen, wie Personen ihre Einstellung gegenüber neuen Technologien überhaupt ausbilden?</w:t>
      </w:r>
    </w:p>
    <w:p>
      <w:pPr>
        <w:spacing w:after="0" w:line="32" w:lineRule="exact"/>
        <w:rPr>
          <w:sz w:val="20"/>
          <w:szCs w:val="20"/>
          <w:color w:val="auto"/>
        </w:rPr>
      </w:pPr>
    </w:p>
    <w:p>
      <w:pPr>
        <w:jc w:val="both"/>
        <w:ind w:left="440" w:firstLine="283"/>
        <w:spacing w:after="0" w:line="394" w:lineRule="auto"/>
        <w:rPr>
          <w:sz w:val="20"/>
          <w:szCs w:val="20"/>
          <w:color w:val="auto"/>
        </w:rPr>
      </w:pPr>
      <w:r>
        <w:rPr>
          <w:rFonts w:ascii="Times New Roman" w:cs="Times New Roman" w:eastAsia="Times New Roman" w:hAnsi="Times New Roman"/>
          <w:sz w:val="23"/>
          <w:szCs w:val="23"/>
          <w:color w:val="auto"/>
        </w:rPr>
        <w:t>Nach dem von uns favorisierten Theoriemodell (vgl. dazu auch Slaby/Urban 2002) kann eine Einstellungsbildung zum einen auf einer systematischen Informationsverarbeitung beruhen. Informationen können dann auf Basis eigener Kompetenz beurteilt werden, und dem Konstrukt Vertrauen kommt lediglich eine indirekte Bedeutung, etwa als Determinante von beliefs, zu.</w:t>
      </w:r>
    </w:p>
    <w:p>
      <w:pPr>
        <w:spacing w:after="0" w:line="21" w:lineRule="exact"/>
        <w:rPr>
          <w:sz w:val="20"/>
          <w:szCs w:val="20"/>
          <w:color w:val="auto"/>
        </w:rPr>
      </w:pPr>
    </w:p>
    <w:p>
      <w:pPr>
        <w:jc w:val="both"/>
        <w:ind w:left="440" w:firstLine="283"/>
        <w:spacing w:after="0" w:line="368" w:lineRule="auto"/>
        <w:rPr>
          <w:sz w:val="20"/>
          <w:szCs w:val="20"/>
          <w:color w:val="auto"/>
        </w:rPr>
      </w:pPr>
      <w:r>
        <w:rPr>
          <w:rFonts w:ascii="Times New Roman" w:cs="Times New Roman" w:eastAsia="Times New Roman" w:hAnsi="Times New Roman"/>
          <w:sz w:val="24"/>
          <w:szCs w:val="24"/>
          <w:color w:val="auto"/>
        </w:rPr>
        <w:t>Anders verhält es sich jedoch, wenn die Einstellungsbildung nicht über beliefs erfolgt, sondern diese aus den Positionen anderer Personen, Gruppen und Institutionen abgeleitet wird. Dann können Informationen über die Positionen externer Quellen als einfacher peripherer Hinweis fungieren oder aber auch als Input für einen systematischen Prozess 2. Ordnung dienen. Dies wird am ehesten dann der Fall sein, wenn bei Personen eine entsprechende Moti-vation vorhanden ist, jedoch mangels Fähigkeit eine systematische Einstellungsbildung ausge-schlossen ist. In dieser Situation erfolgt ein Abwägen zwischen den Positionen externer Quel-len, wobei Relevanz, Kompetenz und Vertrauen als zentrale Gewichtungsfaktoren anzusehen sind.</w:t>
      </w:r>
    </w:p>
    <w:p>
      <w:pPr>
        <w:spacing w:after="0" w:line="29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6"/>
          <w:szCs w:val="26"/>
          <w:b w:val="1"/>
          <w:bCs w:val="1"/>
          <w:color w:val="auto"/>
        </w:rPr>
        <w:t>4 Empirische Befunde</w:t>
      </w:r>
    </w:p>
    <w:p>
      <w:pPr>
        <w:spacing w:after="0" w:line="229" w:lineRule="exact"/>
        <w:rPr>
          <w:sz w:val="20"/>
          <w:szCs w:val="20"/>
          <w:color w:val="auto"/>
        </w:rPr>
      </w:pPr>
    </w:p>
    <w:p>
      <w:pPr>
        <w:jc w:val="both"/>
        <w:ind w:left="440"/>
        <w:spacing w:after="0" w:line="408" w:lineRule="auto"/>
        <w:rPr>
          <w:sz w:val="20"/>
          <w:szCs w:val="20"/>
          <w:color w:val="auto"/>
        </w:rPr>
      </w:pPr>
      <w:r>
        <w:rPr>
          <w:rFonts w:ascii="Times New Roman" w:cs="Times New Roman" w:eastAsia="Times New Roman" w:hAnsi="Times New Roman"/>
          <w:sz w:val="22"/>
          <w:szCs w:val="22"/>
          <w:color w:val="auto"/>
        </w:rPr>
        <w:t>Nachfolgend werden die Befunde einiger empirischer Studien der „Vertrauensforschung“ vorgestellt. Dabei soll zunächst danach geschaut werden, welche wichtigen Determinanten oder Dimensionen von Vertrauen empirisch-explorativ zu ermitteln sind. In einem zweiten Schritt wird dann nach dem Zusammenhang zwischen Vertrauen und Risikowahrnehmung gefragt. Schließlich soll geklärt werden, ob Vertrauen lediglich einen indirekten, über beliefs ver-mittelten Effekt auf die Risikoakzeptanz hat, oder auch als direkte Determinante anzusehen ist.</w:t>
      </w:r>
    </w:p>
    <w:p>
      <w:pPr>
        <w:spacing w:after="0" w:line="15" w:lineRule="exact"/>
        <w:rPr>
          <w:sz w:val="20"/>
          <w:szCs w:val="20"/>
          <w:color w:val="auto"/>
        </w:rPr>
      </w:pPr>
    </w:p>
    <w:p>
      <w:pPr>
        <w:jc w:val="both"/>
        <w:ind w:left="440" w:firstLine="283"/>
        <w:spacing w:after="0" w:line="375" w:lineRule="auto"/>
        <w:rPr>
          <w:sz w:val="20"/>
          <w:szCs w:val="20"/>
          <w:color w:val="auto"/>
        </w:rPr>
      </w:pPr>
      <w:r>
        <w:rPr>
          <w:rFonts w:ascii="Times New Roman" w:cs="Times New Roman" w:eastAsia="Times New Roman" w:hAnsi="Times New Roman"/>
          <w:sz w:val="23"/>
          <w:szCs w:val="23"/>
          <w:color w:val="auto"/>
        </w:rPr>
        <w:t>Jungermann et al. (1996) untersuchten, welche Dimensionen die „Vertrauenswürdigkeit“ von 13 Informationsquellen im Falle eines Unfalls in einem chemischen Werk aufweisen. Bei 430 Befragten</w:t>
      </w:r>
      <w:r>
        <w:rPr>
          <w:rFonts w:ascii="Times New Roman" w:cs="Times New Roman" w:eastAsia="Times New Roman" w:hAnsi="Times New Roman"/>
          <w:sz w:val="27"/>
          <w:szCs w:val="27"/>
          <w:color w:val="auto"/>
          <w:vertAlign w:val="superscript"/>
        </w:rPr>
        <w:t>11)</w:t>
      </w:r>
      <w:r>
        <w:rPr>
          <w:rFonts w:ascii="Times New Roman" w:cs="Times New Roman" w:eastAsia="Times New Roman" w:hAnsi="Times New Roman"/>
          <w:sz w:val="23"/>
          <w:szCs w:val="23"/>
          <w:color w:val="auto"/>
        </w:rPr>
        <w:t xml:space="preserve"> wurde die Vertrauenswürdigkeit dieser Informationsquellen mittels fünf Indikatoren erhoben: Ehrlichkeit, Vertrauenszuschreibung, Verständlichkeit, Objektivität und Kompetenz (jeweils mit siebenstufigen Ratingskalen). Die so gewonnenen Daten wurden dann aggregiert (Mittelwerte über die Befragten hinweg, Analyseeinheit waren die Informations-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115570</wp:posOffset>
                </wp:positionV>
                <wp:extent cx="182753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1pt" to="165.4pt,9.1pt" o:allowincell="f" strokecolor="#000000" strokeweight="0.9599pt"/>
            </w:pict>
          </mc:Fallback>
        </mc:AlternateContent>
      </w:r>
    </w:p>
    <w:p>
      <w:pPr>
        <w:sectPr>
          <w:pgSz w:w="11900" w:h="16840" w:orient="portrait"/>
          <w:cols w:equalWidth="0" w:num="1">
            <w:col w:w="9340"/>
          </w:cols>
          <w:pgMar w:left="1440" w:top="835" w:right="1120" w:bottom="539" w:gutter="0" w:footer="0" w:header="0"/>
        </w:sectPr>
      </w:pPr>
    </w:p>
    <w:p>
      <w:pPr>
        <w:spacing w:after="0" w:line="200" w:lineRule="exact"/>
        <w:rPr>
          <w:sz w:val="20"/>
          <w:szCs w:val="20"/>
          <w:color w:val="auto"/>
        </w:rPr>
      </w:pPr>
    </w:p>
    <w:p>
      <w:pPr>
        <w:spacing w:after="0" w:line="210" w:lineRule="exact"/>
        <w:rPr>
          <w:sz w:val="20"/>
          <w:szCs w:val="20"/>
          <w:color w:val="auto"/>
        </w:rPr>
      </w:pPr>
    </w:p>
    <w:p>
      <w:pPr>
        <w:jc w:val="both"/>
        <w:ind w:left="880" w:right="20" w:hanging="449"/>
        <w:spacing w:after="0" w:line="260" w:lineRule="auto"/>
        <w:tabs>
          <w:tab w:leader="none" w:pos="880"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Die Studie beruht auf 430 persönlichen Interviews, die 1990 unter EinwohnerInnen von Berlin-Wedding durchgeführt wurden, einem Standort der Schering AG. Die Befragten wurden u.a. um Angaben zur Risikowahrnehmung von 10 Gefahrenquellen, Wissen, Informationsbedürfnis und Vertrauen gebeten.</w:t>
      </w:r>
    </w:p>
    <w:p>
      <w:pPr>
        <w:sectPr>
          <w:pgSz w:w="11900" w:h="16840" w:orient="portrait"/>
          <w:cols w:equalWidth="0" w:num="1">
            <w:col w:w="9340"/>
          </w:cols>
          <w:pgMar w:left="1440" w:top="835" w:right="1120" w:bottom="539" w:gutter="0" w:footer="0" w:header="0"/>
          <w:type w:val="continuous"/>
        </w:sectPr>
      </w:pPr>
    </w:p>
    <w:bookmarkStart w:id="11" w:name="page12"/>
    <w:bookmarkEnd w:id="11"/>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74" w:lineRule="auto"/>
        <w:rPr>
          <w:sz w:val="20"/>
          <w:szCs w:val="20"/>
          <w:color w:val="auto"/>
        </w:rPr>
      </w:pPr>
      <w:r>
        <w:rPr>
          <w:rFonts w:ascii="Times New Roman" w:cs="Times New Roman" w:eastAsia="Times New Roman" w:hAnsi="Times New Roman"/>
          <w:sz w:val="24"/>
          <w:szCs w:val="24"/>
          <w:color w:val="auto"/>
        </w:rPr>
        <w:t>quellen) und einer Faktorenanalyse unterzogen. Mittels dieser wurden zwei Faktoren identifi-ziert, die insgesamt 98% der Varianz aufdecken (Faktor 1: 73%). Mit einer Ausnahme („Kompetenz“) laden alle Indikatoren auf dem als „Ehrlichkeit“ bezeichneten 1. Faktor (der zweite Faktor wird lediglich durch den Kompetenz-Indikator repräsentiert).</w:t>
      </w:r>
    </w:p>
    <w:p>
      <w:pPr>
        <w:spacing w:after="0" w:line="38" w:lineRule="exact"/>
        <w:rPr>
          <w:sz w:val="20"/>
          <w:szCs w:val="20"/>
          <w:color w:val="auto"/>
        </w:rPr>
      </w:pPr>
    </w:p>
    <w:p>
      <w:pPr>
        <w:jc w:val="both"/>
        <w:ind w:left="440" w:firstLine="283"/>
        <w:spacing w:after="0" w:line="383" w:lineRule="auto"/>
        <w:rPr>
          <w:sz w:val="20"/>
          <w:szCs w:val="20"/>
          <w:color w:val="auto"/>
        </w:rPr>
      </w:pPr>
      <w:r>
        <w:rPr>
          <w:rFonts w:ascii="Times New Roman" w:cs="Times New Roman" w:eastAsia="Times New Roman" w:hAnsi="Times New Roman"/>
          <w:sz w:val="23"/>
          <w:szCs w:val="23"/>
          <w:color w:val="auto"/>
        </w:rPr>
        <w:t>Dieses Ergebnis an sich hat wohl nur eine sehr geringe Aussagekraft über die Relevanz der Vertrauensdimensionen für das Urteilen und Handeln von Personen, zumal die Analysen auf Aggregatebene durchgeführt wurden. Die einzigen Hinweise für die Bedeutsamkeit der Dimen-sionen kann einer Tabelle entnommen werden, die die Mittelwerte der Einstufungen aller fünf Indikatoren für die verschiedenen Informationsquellen enthält. Die beiden meist genannten Informationsquellen sind UmweltschützerInnen (47.3%) und UniversitätswissenschaftlerInnen (10%). Danach folgen kritische Gruppen, „disaster control“ und dann das Chemieunternehmen selbst (6.8%). Während die erstgenannten Informationsquellen hinsichtlich aller Indikatoren sehr positiv bewertet werden, schneidet das Chemieunternehmen in der Bewertung hinsichtlich fast aller Indikatoren (Ausnahme: „Kompetenz“) sehr schlecht ab. Die noch geringer präferier-ten Informationsquellen werden durchgängig hinsichtlich der 'Ehrlichkeit' besser bewertet und lediglich hinsichtlich der Kompetenz schlechter bewertet. Dies ist zumindest ein schwacher Hinweis darauf, dass Kompetenz ein wesentlicher Faktor für Urteile und Handeln ist und dass Kompetenz notwendige Voraussetzung für die Bedeutung von Ehrlichkeit ist.</w:t>
      </w:r>
    </w:p>
    <w:p>
      <w:pPr>
        <w:spacing w:after="0" w:line="37" w:lineRule="exact"/>
        <w:rPr>
          <w:sz w:val="20"/>
          <w:szCs w:val="20"/>
          <w:color w:val="auto"/>
        </w:rPr>
      </w:pPr>
    </w:p>
    <w:p>
      <w:pPr>
        <w:jc w:val="both"/>
        <w:ind w:left="440" w:firstLine="283"/>
        <w:spacing w:after="0" w:line="377" w:lineRule="auto"/>
        <w:rPr>
          <w:sz w:val="20"/>
          <w:szCs w:val="20"/>
          <w:color w:val="auto"/>
        </w:rPr>
      </w:pPr>
      <w:r>
        <w:rPr>
          <w:rFonts w:ascii="Times New Roman" w:cs="Times New Roman" w:eastAsia="Times New Roman" w:hAnsi="Times New Roman"/>
          <w:sz w:val="23"/>
          <w:szCs w:val="23"/>
          <w:color w:val="auto"/>
        </w:rPr>
        <w:t>Ebenfalls mit den Determinanten von Vertrauen setzten sich Peters et al. (1997) auseinander. Ihre Hypothese lautet, dass Vertrauen durch drei Faktoren determiniert wird: 1. Wissen und Expertise, 2. Offenheit und Ehrlichkeit , 3. Sorge (concern und care). In ihren Analysen</w:t>
      </w:r>
      <w:r>
        <w:rPr>
          <w:rFonts w:ascii="Times New Roman" w:cs="Times New Roman" w:eastAsia="Times New Roman" w:hAnsi="Times New Roman"/>
          <w:sz w:val="27"/>
          <w:szCs w:val="27"/>
          <w:color w:val="auto"/>
          <w:vertAlign w:val="superscript"/>
        </w:rPr>
        <w:t>12)</w:t>
      </w:r>
      <w:r>
        <w:rPr>
          <w:rFonts w:ascii="Times New Roman" w:cs="Times New Roman" w:eastAsia="Times New Roman" w:hAnsi="Times New Roman"/>
          <w:sz w:val="23"/>
          <w:szCs w:val="23"/>
          <w:color w:val="auto"/>
        </w:rPr>
        <w:t xml:space="preserve"> konnten die Autoren ihre Hypothese hinsichtlich der Determinanten von Vertrauen bestätigen. Das Vertrauen gegen die Industrie kann mittels Regressionsanalyse zu 20%, das Vertrauen gegen die Regierung zu 29% und das Vertrauen gegen BürgerInnengruppen zu 39% prognosti-ziert werden. Als die wichtigste Determinante des Vertrauens erweist sich Wissen und Experti-se. Dies gilt insbesondere für den Grad des Vertrauens in BürgerInnengruppen. Deutlich geringer ist die Bedeutung der beiden anderen Indikatoren, wenngleich Offenheit und Ehrlich-keit für das Vertrauen gegen die Regierung noch eine vergleichsweise zentrale Rolle spielen.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118110</wp:posOffset>
                </wp:positionV>
                <wp:extent cx="182753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3pt" to="165.4pt,9.3pt" o:allowincell="f" strokecolor="#000000" strokeweight="0.96pt"/>
            </w:pict>
          </mc:Fallback>
        </mc:AlternateContent>
      </w:r>
    </w:p>
    <w:p>
      <w:pPr>
        <w:spacing w:after="0" w:line="395" w:lineRule="exact"/>
        <w:rPr>
          <w:sz w:val="20"/>
          <w:szCs w:val="20"/>
          <w:color w:val="auto"/>
        </w:rPr>
      </w:pPr>
    </w:p>
    <w:p>
      <w:pPr>
        <w:jc w:val="both"/>
        <w:ind w:left="880" w:hanging="449"/>
        <w:spacing w:after="0" w:line="249" w:lineRule="auto"/>
        <w:tabs>
          <w:tab w:leader="none" w:pos="8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Die Analysen basieren auf Interviews mit rund 400 volljährigen Personen aus verschiedenen Gemeinden in den USA, die folgende Kriterien erfüllen: 1. Wohnort in der Nähe von Industrie, die Chemikalien erzeugt, verarbeitet, lagert oder als Abfallprodukt erzeugt, 2. Wohnort in der Nähe einer gefährlichen Abfallagerung, 3. Existenz einer aktiven lokalen Umweltgruppe am Wohnort und 4. Emissionsprobleme oder „enforcement activities“ am Wohnort. Angaben über den Erhebungszeitraum sowie der verwendeten Items werden nicht gemacht, es findet sich lediglich die Angabe, dass für alle Items vierstufige Antwort-möglichkeiten (Ratings) verwendet wurden</w:t>
      </w:r>
    </w:p>
    <w:p>
      <w:pPr>
        <w:sectPr>
          <w:pgSz w:w="11900" w:h="16840" w:orient="portrait"/>
          <w:cols w:equalWidth="0" w:num="1">
            <w:col w:w="9340"/>
          </w:cols>
          <w:pgMar w:left="1440" w:top="835" w:right="1120" w:bottom="552" w:gutter="0" w:footer="0" w:header="0"/>
        </w:sectPr>
      </w:pPr>
    </w:p>
    <w:bookmarkStart w:id="12" w:name="page13"/>
    <w:bookmarkEnd w:id="12"/>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11</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firstLine="283"/>
        <w:spacing w:after="0" w:line="371" w:lineRule="auto"/>
        <w:rPr>
          <w:sz w:val="20"/>
          <w:szCs w:val="20"/>
          <w:color w:val="auto"/>
        </w:rPr>
      </w:pPr>
      <w:r>
        <w:rPr>
          <w:rFonts w:ascii="Times New Roman" w:cs="Times New Roman" w:eastAsia="Times New Roman" w:hAnsi="Times New Roman"/>
          <w:sz w:val="23"/>
          <w:szCs w:val="23"/>
          <w:color w:val="auto"/>
        </w:rPr>
        <w:t>Von besonderem Interesse für die Beantwortung der Frage nach den Determinanten des Vertrauens sind zwei Studien von Frewer et al. (1996). In einer ersten Studie wurden die möglichen Determinanten des Vertrauens nicht auf Basis eines standardisierten Instruments ermittelt, sondern wurden die Befragten</w:t>
      </w:r>
      <w:r>
        <w:rPr>
          <w:rFonts w:ascii="Times New Roman" w:cs="Times New Roman" w:eastAsia="Times New Roman" w:hAnsi="Times New Roman"/>
          <w:sz w:val="27"/>
          <w:szCs w:val="27"/>
          <w:color w:val="auto"/>
          <w:vertAlign w:val="superscript"/>
        </w:rPr>
        <w:t>13)</w:t>
      </w:r>
      <w:r>
        <w:rPr>
          <w:rFonts w:ascii="Times New Roman" w:cs="Times New Roman" w:eastAsia="Times New Roman" w:hAnsi="Times New Roman"/>
          <w:sz w:val="23"/>
          <w:szCs w:val="23"/>
          <w:color w:val="auto"/>
        </w:rPr>
        <w:t xml:space="preserve"> in halbstrukturierten Interviews offen nach den Gründen für ihr Vertrauen in bzw. für ihr Misstrauen gegen Gruppen und Institutionen befragt.</w:t>
      </w:r>
      <w:r>
        <w:rPr>
          <w:rFonts w:ascii="Times New Roman" w:cs="Times New Roman" w:eastAsia="Times New Roman" w:hAnsi="Times New Roman"/>
          <w:sz w:val="27"/>
          <w:szCs w:val="27"/>
          <w:color w:val="auto"/>
          <w:vertAlign w:val="superscript"/>
        </w:rPr>
        <w:t>14)</w:t>
      </w:r>
      <w:r>
        <w:rPr>
          <w:rFonts w:ascii="Times New Roman" w:cs="Times New Roman" w:eastAsia="Times New Roman" w:hAnsi="Times New Roman"/>
          <w:sz w:val="23"/>
          <w:szCs w:val="23"/>
          <w:color w:val="auto"/>
        </w:rPr>
        <w:t xml:space="preserve"> Die am häufigsten genannten Gründe für Vertrauen in Informationsquellen lassen sich dabei zwei Faktoren zuweisen: „Kompetenz“ und, weniger eindeutig, „Objektivität“. In einer zweiten größeren und rein quantitativen Untersuchung</w:t>
      </w:r>
      <w:r>
        <w:rPr>
          <w:rFonts w:ascii="Times New Roman" w:cs="Times New Roman" w:eastAsia="Times New Roman" w:hAnsi="Times New Roman"/>
          <w:sz w:val="27"/>
          <w:szCs w:val="27"/>
          <w:color w:val="auto"/>
          <w:vertAlign w:val="superscript"/>
        </w:rPr>
        <w:t>15)</w:t>
      </w:r>
      <w:r>
        <w:rPr>
          <w:rFonts w:ascii="Times New Roman" w:cs="Times New Roman" w:eastAsia="Times New Roman" w:hAnsi="Times New Roman"/>
          <w:sz w:val="23"/>
          <w:szCs w:val="23"/>
          <w:color w:val="auto"/>
        </w:rPr>
        <w:t xml:space="preserve"> sollten die Befragten insgesamt 18 Informationsquellen hinsichtlich 19 Eigenschaften einzustufen. Die so gewonnenen Daten wurden über alle Personen hinweg aggregiert (Mittelwerte) und die Informationsquellen als Fälle behandelt. Die so gewonnene Datenmatrix wurde mittels Faktorenanalyse analysiert. Zwei Faktoren konnten identifiziert werden, die insgesamt 89% der Varianz aufdeckten (auf Faktor 1 entfallen dabei 69%). Eine eindeutige Interpretation der beiden extrahierten Faktoren ist allerdings nur schwer möglich, da z.T. erhebliche Fremdladungen auftreten. Faktor 1 muss deshalb recht diffus mit „Wissen/ Kompetenz/Sorge/Ehrlichkeit“ umschrieben werden, Faktor 2 ist gekennzeichnet durch das Eigeninteresse der Informationsquelle. Besonders interessant sind die hohen Fremdladungen von „ExpertIn“ und „viel Wissen“ auf Faktor 2. Dies könnte ein Hinweis darauf sein, dass Kompetenz lediglich eine notwendige, nicht aber eine hinreichende Bedingung für Vertrauen ist.</w:t>
      </w:r>
    </w:p>
    <w:p>
      <w:pPr>
        <w:spacing w:after="0" w:line="59" w:lineRule="exact"/>
        <w:rPr>
          <w:sz w:val="20"/>
          <w:szCs w:val="20"/>
          <w:color w:val="auto"/>
        </w:rPr>
      </w:pPr>
    </w:p>
    <w:p>
      <w:pPr>
        <w:jc w:val="both"/>
        <w:ind w:left="440" w:firstLine="283"/>
        <w:spacing w:after="0" w:line="395" w:lineRule="auto"/>
        <w:rPr>
          <w:sz w:val="20"/>
          <w:szCs w:val="20"/>
          <w:color w:val="auto"/>
        </w:rPr>
      </w:pPr>
      <w:r>
        <w:rPr>
          <w:rFonts w:ascii="Times New Roman" w:cs="Times New Roman" w:eastAsia="Times New Roman" w:hAnsi="Times New Roman"/>
          <w:sz w:val="24"/>
          <w:szCs w:val="24"/>
          <w:color w:val="auto"/>
        </w:rPr>
        <w:t>Im folgenden sollen noch zwei Untersuchungen vorgestellt, die Hinweise auf den Zusam-menhang zwischen Vertrauen und Risikowahrnehmung/Risikoakzeptanz geben können.</w:t>
      </w:r>
    </w:p>
    <w:p>
      <w:pPr>
        <w:spacing w:after="0" w:line="12" w:lineRule="exact"/>
        <w:rPr>
          <w:sz w:val="20"/>
          <w:szCs w:val="20"/>
          <w:color w:val="auto"/>
        </w:rPr>
      </w:pPr>
    </w:p>
    <w:p>
      <w:pPr>
        <w:jc w:val="both"/>
        <w:ind w:left="440" w:firstLine="283"/>
        <w:spacing w:after="0" w:line="394" w:lineRule="auto"/>
        <w:rPr>
          <w:sz w:val="20"/>
          <w:szCs w:val="20"/>
          <w:color w:val="auto"/>
        </w:rPr>
      </w:pPr>
      <w:r>
        <w:rPr>
          <w:rFonts w:ascii="Times New Roman" w:cs="Times New Roman" w:eastAsia="Times New Roman" w:hAnsi="Times New Roman"/>
          <w:sz w:val="23"/>
          <w:szCs w:val="23"/>
          <w:color w:val="auto"/>
        </w:rPr>
        <w:t>Kunreuther et al. (1989, 1990) wählen als Forschungsgegenstand ein zu errichtendes Lager für hoch radioaktiven Abfall (möglicher Standort: Yucca Mountain, Nevada). Ihre Forschungs-frage lautet, ob die individuelle Zustimmung zu diesem Endlager besser mittels eines Kosten-Nutzen-Modells oder mittels eines Risikowahrnehmungsmodells vorhergesagt werden kann.</w:t>
      </w:r>
    </w:p>
    <w:p>
      <w:pPr>
        <w:spacing w:after="0" w:line="21" w:lineRule="exact"/>
        <w:rPr>
          <w:sz w:val="20"/>
          <w:szCs w:val="20"/>
          <w:color w:val="auto"/>
        </w:rPr>
      </w:pPr>
    </w:p>
    <w:p>
      <w:pPr>
        <w:jc w:val="both"/>
        <w:ind w:left="440" w:firstLine="283"/>
        <w:spacing w:after="0" w:line="401" w:lineRule="auto"/>
        <w:rPr>
          <w:sz w:val="20"/>
          <w:szCs w:val="20"/>
          <w:color w:val="auto"/>
        </w:rPr>
      </w:pPr>
      <w:r>
        <w:rPr>
          <w:rFonts w:ascii="Times New Roman" w:cs="Times New Roman" w:eastAsia="Times New Roman" w:hAnsi="Times New Roman"/>
          <w:sz w:val="23"/>
          <w:szCs w:val="23"/>
          <w:color w:val="auto"/>
        </w:rPr>
        <w:t>Das Modell der Risikowahrnehmung wird in Anlehnung an die Befunde des psychometri-schen Paradigmas formuliert, welches bezweifelt, dass Entscheidungen über riskante Aktivitä-ten einem reinen Kosten-Nutzen-Modell folgen. Das Modell der Risikowahrnehmung wird mit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38735</wp:posOffset>
                </wp:positionV>
                <wp:extent cx="182753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3.05pt" to="165.4pt,3.05pt" o:allowincell="f" strokecolor="#000000" strokeweight="0.96pt"/>
            </w:pict>
          </mc:Fallback>
        </mc:AlternateContent>
      </w:r>
    </w:p>
    <w:p>
      <w:pPr>
        <w:spacing w:after="0" w:line="269" w:lineRule="exact"/>
        <w:rPr>
          <w:sz w:val="20"/>
          <w:szCs w:val="20"/>
          <w:color w:val="auto"/>
        </w:rPr>
      </w:pPr>
    </w:p>
    <w:p>
      <w:pPr>
        <w:ind w:left="880" w:hanging="449"/>
        <w:spacing w:after="0"/>
        <w:tabs>
          <w:tab w:leader="none" w:pos="88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Es wurden 35 Personen verschiedener Berufsgruppen befragt.</w:t>
      </w:r>
    </w:p>
    <w:p>
      <w:pPr>
        <w:spacing w:after="0" w:line="244" w:lineRule="exact"/>
        <w:rPr>
          <w:rFonts w:ascii="Times New Roman" w:cs="Times New Roman" w:eastAsia="Times New Roman" w:hAnsi="Times New Roman"/>
          <w:sz w:val="20"/>
          <w:szCs w:val="20"/>
          <w:color w:val="auto"/>
        </w:rPr>
      </w:pPr>
    </w:p>
    <w:p>
      <w:pPr>
        <w:ind w:left="880" w:right="20" w:hanging="449"/>
        <w:spacing w:after="0" w:line="276" w:lineRule="auto"/>
        <w:tabs>
          <w:tab w:leader="none" w:pos="88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allen Studien ging es um das Vertrauen in Informationen hinsichtlich von Gefahren, die mit Lebens-mitteln verbunden sind.</w:t>
      </w:r>
    </w:p>
    <w:p>
      <w:pPr>
        <w:spacing w:after="0" w:line="179" w:lineRule="exact"/>
        <w:rPr>
          <w:rFonts w:ascii="Times New Roman" w:cs="Times New Roman" w:eastAsia="Times New Roman" w:hAnsi="Times New Roman"/>
          <w:sz w:val="20"/>
          <w:szCs w:val="20"/>
          <w:color w:val="auto"/>
        </w:rPr>
      </w:pPr>
    </w:p>
    <w:p>
      <w:pPr>
        <w:ind w:left="880" w:right="20" w:hanging="449"/>
        <w:spacing w:after="0" w:line="276" w:lineRule="auto"/>
        <w:tabs>
          <w:tab w:leader="none" w:pos="88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Hierbei handelte es sich um eine schriftliche Befragung (Quotenstichprobe). 23% der 4000 angeschriebe-nen Personen beteiligten sich an der Untersuchung.</w:t>
      </w:r>
    </w:p>
    <w:p>
      <w:pPr>
        <w:sectPr>
          <w:pgSz w:w="11900" w:h="16840" w:orient="portrait"/>
          <w:cols w:equalWidth="0" w:num="1">
            <w:col w:w="9340"/>
          </w:cols>
          <w:pgMar w:left="1440" w:top="835" w:right="1120" w:bottom="523" w:gutter="0" w:footer="0" w:header="0"/>
        </w:sectPr>
      </w:pPr>
    </w:p>
    <w:bookmarkStart w:id="13" w:name="page14"/>
    <w:bookmarkEnd w:id="13"/>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12</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68" w:lineRule="auto"/>
        <w:rPr>
          <w:sz w:val="20"/>
          <w:szCs w:val="20"/>
          <w:color w:val="auto"/>
        </w:rPr>
      </w:pPr>
      <w:r>
        <w:rPr>
          <w:rFonts w:ascii="Times New Roman" w:cs="Times New Roman" w:eastAsia="Times New Roman" w:hAnsi="Times New Roman"/>
          <w:sz w:val="24"/>
          <w:szCs w:val="24"/>
          <w:color w:val="auto"/>
        </w:rPr>
        <w:t>folgenden Variablen und Begründungen beschrieben: Bei einer Technologie, wie die Endlage-rung hochradioaktiven Abfalls, ist davon auszugehen, dass die Individuen nicht nur die persön-lichen Konsequenzen berücksichtigen, sondern insbesondere auch die Folgen, die für zukünfti-ge Generationen resultieren. Weiterhin zeigten empirische Studien innerhalb des psychometri-schen Paradigmas, dass nicht allein Wahrscheinlichkeiten und die Schwere der Folgen in der Risikobeurteilung eine Rolle spielen, sondern vielmehr qualitative Eigenschaften der Gefahren-quellen zentral sind (hier werden die Dimensionen Kontrollierbarkeit und Schrecklichkeit berücksichtigt).</w:t>
      </w:r>
    </w:p>
    <w:p>
      <w:pPr>
        <w:spacing w:after="0" w:line="48" w:lineRule="exact"/>
        <w:rPr>
          <w:sz w:val="20"/>
          <w:szCs w:val="20"/>
          <w:color w:val="auto"/>
        </w:rPr>
      </w:pPr>
    </w:p>
    <w:p>
      <w:pPr>
        <w:jc w:val="both"/>
        <w:ind w:left="440" w:firstLine="283"/>
        <w:spacing w:after="0" w:line="368" w:lineRule="auto"/>
        <w:rPr>
          <w:sz w:val="20"/>
          <w:szCs w:val="20"/>
          <w:color w:val="auto"/>
        </w:rPr>
      </w:pPr>
      <w:r>
        <w:rPr>
          <w:rFonts w:ascii="Times New Roman" w:cs="Times New Roman" w:eastAsia="Times New Roman" w:hAnsi="Times New Roman"/>
          <w:sz w:val="24"/>
          <w:szCs w:val="24"/>
          <w:color w:val="auto"/>
        </w:rPr>
        <w:t>Am interessantesten erscheint die Aufnahme der Variablen Vertrauen in das Modell. Kun-reuther et al. argumentieren, dass Wahrscheinlichkeiten über das Eintreten von negativen Ereignissen nur sehr begrenzten Informationsgehalt besitzen, wenn es lediglich eine begrenzte oder keine historische Basis für die Bildung des Wahrscheinlichkeitsurteils gibt. In solchen Situationen erscheint es als nicht unwahrscheinlich, dass die Individuen auf indirekte Indikato-ren der Einschätzung der Wahrscheinlichkeiten zurückgreifen, oder, wie es Kunreuther /Easter-ling (1989: 254) formulieren: "... where there is considerable uncertainty regarding the scope of the risk, individuals rely on the credibility of these agents who are seen as controlling the risk."</w:t>
      </w:r>
    </w:p>
    <w:p>
      <w:pPr>
        <w:spacing w:after="0" w:line="44" w:lineRule="exact"/>
        <w:rPr>
          <w:sz w:val="20"/>
          <w:szCs w:val="20"/>
          <w:color w:val="auto"/>
        </w:rPr>
      </w:pPr>
    </w:p>
    <w:p>
      <w:pPr>
        <w:jc w:val="both"/>
        <w:ind w:left="440" w:firstLine="283"/>
        <w:spacing w:after="0" w:line="362" w:lineRule="auto"/>
        <w:rPr>
          <w:sz w:val="20"/>
          <w:szCs w:val="20"/>
          <w:color w:val="auto"/>
        </w:rPr>
      </w:pPr>
      <w:r>
        <w:rPr>
          <w:rFonts w:ascii="Times New Roman" w:cs="Times New Roman" w:eastAsia="Times New Roman" w:hAnsi="Times New Roman"/>
          <w:sz w:val="24"/>
          <w:szCs w:val="24"/>
          <w:color w:val="auto"/>
        </w:rPr>
        <w:t>Als solche möglichen Indikatoren werden Vertrauen in die Regierungsbehörden und die Wahrnehmung der Angemessenheit von Kontrollprozeduren benannt, wovon der Indikator „Vertrauen“ in das Modell eingeht. Kunreuther et al. erweitern ihre Argumentation noch dahingehend, dass die indirekten Indikatoren als periphere Hinweisreize oder Heuristiken dienen können.</w:t>
      </w:r>
      <w:r>
        <w:rPr>
          <w:rFonts w:ascii="Times New Roman" w:cs="Times New Roman" w:eastAsia="Times New Roman" w:hAnsi="Times New Roman"/>
          <w:sz w:val="28"/>
          <w:szCs w:val="28"/>
          <w:color w:val="auto"/>
          <w:vertAlign w:val="superscript"/>
        </w:rPr>
        <w:t>16)</w:t>
      </w:r>
      <w:r>
        <w:rPr>
          <w:rFonts w:ascii="Times New Roman" w:cs="Times New Roman" w:eastAsia="Times New Roman" w:hAnsi="Times New Roman"/>
          <w:sz w:val="24"/>
          <w:szCs w:val="24"/>
          <w:color w:val="auto"/>
        </w:rPr>
        <w:t xml:space="preserve"> Nachfolgender Tabelle 2 sind alle Indikatoren der beiden Modelle zu entneh-men.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1884045</wp:posOffset>
                </wp:positionV>
                <wp:extent cx="182753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48.35pt" to="165.4pt,148.35pt" o:allowincell="f" strokecolor="#000000" strokeweight="0.9599pt"/>
            </w:pict>
          </mc:Fallback>
        </mc:AlternateContent>
      </w:r>
    </w:p>
    <w:p>
      <w:pPr>
        <w:sectPr>
          <w:pgSz w:w="11900" w:h="16840" w:orient="portrait"/>
          <w:cols w:equalWidth="0" w:num="1">
            <w:col w:w="9340"/>
          </w:cols>
          <w:pgMar w:left="1440" w:top="835" w:right="1120" w:bottom="5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jc w:val="both"/>
        <w:ind w:left="880" w:hanging="449"/>
        <w:spacing w:after="0" w:line="254" w:lineRule="auto"/>
        <w:tabs>
          <w:tab w:leader="none" w:pos="880" w:val="left"/>
        </w:tabs>
        <w:numPr>
          <w:ilvl w:val="0"/>
          <w:numId w:val="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Auch wenn die Autoren diese Begriffe nicht verwenden, scheint die Bezeichnung aufgrund der Aus-führungen als gerechtfertigt: "Indeed, in choosing whether or not to vote for a repository, the individual may find it unnecessary to estimate probabilities and loss magnitude, instead conducting a simple exami-nation of whether the requisite safety features are in place." (Kunreuther et al. 1990: 472)</w:t>
      </w:r>
    </w:p>
    <w:p>
      <w:pPr>
        <w:sectPr>
          <w:pgSz w:w="11900" w:h="16840" w:orient="portrait"/>
          <w:cols w:equalWidth="0" w:num="1">
            <w:col w:w="9340"/>
          </w:cols>
          <w:pgMar w:left="1440" w:top="835" w:right="1120" w:bottom="547" w:gutter="0" w:footer="0" w:header="0"/>
          <w:type w:val="continuous"/>
        </w:sectPr>
      </w:pPr>
    </w:p>
    <w:bookmarkStart w:id="14" w:name="page15"/>
    <w:bookmarkEnd w:id="14"/>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13</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Tabelle 2: Indikatoren des Kosten-Nutzen-Modells und des Modells der Risikowahrnehmung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165100</wp:posOffset>
                </wp:positionV>
                <wp:extent cx="21596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3pt" to="191.55pt,1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165100</wp:posOffset>
                </wp:positionV>
                <wp:extent cx="50292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3pt" to="231.2pt,1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2937510</wp:posOffset>
                </wp:positionH>
                <wp:positionV relativeFrom="paragraph">
                  <wp:posOffset>165100</wp:posOffset>
                </wp:positionV>
                <wp:extent cx="3587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877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3pt,13pt" to="259.55pt,1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3296920</wp:posOffset>
                </wp:positionH>
                <wp:positionV relativeFrom="paragraph">
                  <wp:posOffset>165100</wp:posOffset>
                </wp:positionV>
                <wp:extent cx="21596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6pt,13pt" to="429.65pt,1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5457190</wp:posOffset>
                </wp:positionH>
                <wp:positionV relativeFrom="paragraph">
                  <wp:posOffset>165100</wp:posOffset>
                </wp:positionV>
                <wp:extent cx="46609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7pt,13pt" to="466.4pt,13pt" o:allowincell="f" strokecolor="#000000" strokeweight="0.96pt"/>
            </w:pict>
          </mc:Fallback>
        </mc:AlternateContent>
      </w:r>
    </w:p>
    <w:p>
      <w:pPr>
        <w:spacing w:after="0" w:line="282" w:lineRule="exact"/>
        <w:rPr>
          <w:sz w:val="20"/>
          <w:szCs w:val="20"/>
          <w:color w:val="auto"/>
        </w:rPr>
      </w:pPr>
    </w:p>
    <w:tbl>
      <w:tblPr>
        <w:tblLayout w:type="fixed"/>
        <w:tblInd w:w="440" w:type="dxa"/>
        <w:tblCellMar>
          <w:top w:w="0" w:type="dxa"/>
          <w:left w:w="0" w:type="dxa"/>
          <w:bottom w:w="0" w:type="dxa"/>
          <w:right w:w="0" w:type="dxa"/>
        </w:tblCellMar>
      </w:tblPr>
      <w:tr>
        <w:trPr>
          <w:trHeight w:val="261"/>
        </w:trPr>
        <w:tc>
          <w:tcPr>
            <w:tcW w:w="34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Kosten-Nutzen-Modell</w:t>
            </w:r>
          </w:p>
        </w:tc>
        <w:tc>
          <w:tcPr>
            <w:tcW w:w="1360" w:type="dxa"/>
            <w:vAlign w:val="bottom"/>
          </w:tcPr>
          <w:p>
            <w:pPr>
              <w:spacing w:after="0"/>
              <w:rPr>
                <w:sz w:val="22"/>
                <w:szCs w:val="22"/>
                <w:color w:val="auto"/>
              </w:rPr>
            </w:pPr>
          </w:p>
        </w:tc>
        <w:tc>
          <w:tcPr>
            <w:tcW w:w="3400" w:type="dxa"/>
            <w:vAlign w:val="bottom"/>
          </w:tcPr>
          <w:p>
            <w:pPr>
              <w:ind w:left="60"/>
              <w:spacing w:after="0"/>
              <w:rPr>
                <w:sz w:val="20"/>
                <w:szCs w:val="20"/>
                <w:color w:val="auto"/>
              </w:rPr>
            </w:pPr>
            <w:r>
              <w:rPr>
                <w:rFonts w:ascii="Times New Roman" w:cs="Times New Roman" w:eastAsia="Times New Roman" w:hAnsi="Times New Roman"/>
                <w:sz w:val="20"/>
                <w:szCs w:val="20"/>
                <w:color w:val="auto"/>
              </w:rPr>
              <w:t>Modell der Risikowahrnehmung</w:t>
            </w:r>
          </w:p>
        </w:tc>
        <w:tc>
          <w:tcPr>
            <w:tcW w:w="720" w:type="dxa"/>
            <w:vAlign w:val="bottom"/>
          </w:tcPr>
          <w:p>
            <w:pPr>
              <w:spacing w:after="0"/>
              <w:rPr>
                <w:sz w:val="22"/>
                <w:szCs w:val="22"/>
                <w:color w:val="auto"/>
              </w:rPr>
            </w:pPr>
          </w:p>
        </w:tc>
      </w:tr>
      <w:tr>
        <w:trPr>
          <w:trHeight w:val="26"/>
        </w:trPr>
        <w:tc>
          <w:tcPr>
            <w:tcW w:w="340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tcPr>
          <w:p>
            <w:pPr>
              <w:spacing w:after="0"/>
              <w:rPr>
                <w:sz w:val="2"/>
                <w:szCs w:val="2"/>
                <w:color w:val="auto"/>
              </w:rPr>
            </w:pPr>
          </w:p>
        </w:tc>
        <w:tc>
          <w:tcPr>
            <w:tcW w:w="340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tcPr>
          <w:p>
            <w:pPr>
              <w:spacing w:after="0"/>
              <w:rPr>
                <w:sz w:val="2"/>
                <w:szCs w:val="2"/>
                <w:color w:val="auto"/>
              </w:rPr>
            </w:pPr>
          </w:p>
        </w:tc>
      </w:tr>
      <w:tr>
        <w:trPr>
          <w:trHeight w:val="276"/>
        </w:trPr>
        <w:tc>
          <w:tcPr>
            <w:tcW w:w="34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Beschreibung des Items</w:t>
            </w:r>
          </w:p>
        </w:tc>
        <w:tc>
          <w:tcPr>
            <w:tcW w:w="136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Skala</w:t>
            </w:r>
          </w:p>
        </w:tc>
        <w:tc>
          <w:tcPr>
            <w:tcW w:w="340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Item</w:t>
            </w:r>
          </w:p>
        </w:tc>
        <w:tc>
          <w:tcPr>
            <w:tcW w:w="7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0"/>
                <w:szCs w:val="20"/>
                <w:color w:val="auto"/>
              </w:rPr>
              <w:t>Skala</w:t>
            </w:r>
          </w:p>
        </w:tc>
      </w:tr>
    </w:tbl>
    <w:p>
      <w:pPr>
        <w:spacing w:after="0" w:line="36" w:lineRule="exact"/>
        <w:rPr>
          <w:sz w:val="20"/>
          <w:szCs w:val="20"/>
          <w:color w:val="auto"/>
        </w:rPr>
      </w:pPr>
    </w:p>
    <w:p>
      <w:pPr>
        <w:sectPr>
          <w:pgSz w:w="11900" w:h="16840" w:orient="portrait"/>
          <w:cols w:equalWidth="0" w:num="1">
            <w:col w:w="9340"/>
          </w:cols>
          <w:pgMar w:left="1440" w:top="835" w:right="1120" w:bottom="813" w:gutter="0" w:footer="0" w:header="0"/>
        </w:sectPr>
      </w:pPr>
    </w:p>
    <w:p>
      <w:pPr>
        <w:ind w:left="500" w:right="220"/>
        <w:spacing w:after="0" w:line="234" w:lineRule="auto"/>
        <w:rPr>
          <w:sz w:val="20"/>
          <w:szCs w:val="20"/>
          <w:color w:val="auto"/>
        </w:rPr>
      </w:pPr>
      <w:r>
        <w:rPr>
          <w:rFonts w:ascii="Times New Roman" w:cs="Times New Roman" w:eastAsia="Times New Roman" w:hAnsi="Times New Roman"/>
          <w:sz w:val="20"/>
          <w:szCs w:val="20"/>
          <w:color w:val="auto"/>
        </w:rPr>
        <w:t>Wahrscheinlichkeit eines Unfalls im End- 1 - 5</w:t>
      </w:r>
      <w:r>
        <w:rPr>
          <w:rFonts w:ascii="Times New Roman" w:cs="Times New Roman" w:eastAsia="Times New Roman" w:hAnsi="Times New Roman"/>
          <w:sz w:val="24"/>
          <w:szCs w:val="24"/>
          <w:color w:val="auto"/>
          <w:vertAlign w:val="superscript"/>
        </w:rPr>
        <w:t>a</w:t>
      </w:r>
      <w:r>
        <w:rPr>
          <w:rFonts w:ascii="Times New Roman" w:cs="Times New Roman" w:eastAsia="Times New Roman" w:hAnsi="Times New Roman"/>
          <w:sz w:val="20"/>
          <w:szCs w:val="20"/>
          <w:color w:val="auto"/>
        </w:rPr>
        <w:t xml:space="preserve"> lager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133985</wp:posOffset>
                </wp:positionV>
                <wp:extent cx="21596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55pt" to="191.55pt,10.5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133985</wp:posOffset>
                </wp:positionV>
                <wp:extent cx="50292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0.55pt" to="231.2pt,10.55pt" o:allowincell="f" strokecolor="#000000" strokeweight="0.9599pt"/>
            </w:pict>
          </mc:Fallback>
        </mc:AlternateContent>
      </w:r>
    </w:p>
    <w:p>
      <w:pPr>
        <w:spacing w:after="0" w:line="237" w:lineRule="exact"/>
        <w:rPr>
          <w:sz w:val="20"/>
          <w:szCs w:val="20"/>
          <w:color w:val="auto"/>
        </w:rPr>
      </w:pPr>
    </w:p>
    <w:p>
      <w:pPr>
        <w:ind w:left="500" w:right="200"/>
        <w:spacing w:after="0"/>
        <w:rPr>
          <w:sz w:val="20"/>
          <w:szCs w:val="20"/>
          <w:color w:val="auto"/>
        </w:rPr>
      </w:pPr>
      <w:r>
        <w:rPr>
          <w:rFonts w:ascii="Times New Roman" w:cs="Times New Roman" w:eastAsia="Times New Roman" w:hAnsi="Times New Roman"/>
          <w:sz w:val="20"/>
          <w:szCs w:val="20"/>
          <w:color w:val="auto"/>
        </w:rPr>
        <w:t xml:space="preserve">Wahrscheinlichkeit der Freisetzung von 1 - 5 </w:t>
      </w:r>
      <w:r>
        <w:rPr>
          <w:rFonts w:ascii="Times New Roman" w:cs="Times New Roman" w:eastAsia="Times New Roman" w:hAnsi="Times New Roman"/>
          <w:sz w:val="24"/>
          <w:szCs w:val="24"/>
          <w:color w:val="auto"/>
          <w:vertAlign w:val="superscript"/>
        </w:rPr>
        <w:t>a</w:t>
      </w:r>
      <w:r>
        <w:rPr>
          <w:rFonts w:ascii="Times New Roman" w:cs="Times New Roman" w:eastAsia="Times New Roman" w:hAnsi="Times New Roman"/>
          <w:sz w:val="20"/>
          <w:szCs w:val="20"/>
          <w:color w:val="auto"/>
        </w:rPr>
        <w:t xml:space="preserve"> Radioaktivität bei Transporten zum End-lager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125730</wp:posOffset>
                </wp:positionV>
                <wp:extent cx="21596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9.9pt" to="191.55pt,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125730</wp:posOffset>
                </wp:positionV>
                <wp:extent cx="50292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9.9pt" to="231.2pt,9.9pt" o:allowincell="f" strokecolor="#000000" strokeweight="0.9599pt"/>
            </w:pict>
          </mc:Fallback>
        </mc:AlternateContent>
      </w:r>
    </w:p>
    <w:p>
      <w:pPr>
        <w:spacing w:after="0" w:line="224" w:lineRule="exact"/>
        <w:rPr>
          <w:sz w:val="20"/>
          <w:szCs w:val="20"/>
          <w:color w:val="auto"/>
        </w:rPr>
      </w:pPr>
    </w:p>
    <w:p>
      <w:pPr>
        <w:ind w:left="500" w:right="200"/>
        <w:spacing w:after="0" w:line="234" w:lineRule="auto"/>
        <w:rPr>
          <w:sz w:val="20"/>
          <w:szCs w:val="20"/>
          <w:color w:val="auto"/>
        </w:rPr>
      </w:pPr>
      <w:r>
        <w:rPr>
          <w:rFonts w:ascii="Times New Roman" w:cs="Times New Roman" w:eastAsia="Times New Roman" w:hAnsi="Times New Roman"/>
          <w:sz w:val="20"/>
          <w:szCs w:val="20"/>
          <w:color w:val="auto"/>
        </w:rPr>
        <w:t xml:space="preserve">Wahrscheinlichkeit, dass Endlager das 1 - 5 </w:t>
      </w:r>
      <w:r>
        <w:rPr>
          <w:rFonts w:ascii="Times New Roman" w:cs="Times New Roman" w:eastAsia="Times New Roman" w:hAnsi="Times New Roman"/>
          <w:sz w:val="24"/>
          <w:szCs w:val="24"/>
          <w:color w:val="auto"/>
          <w:vertAlign w:val="superscript"/>
        </w:rPr>
        <w:t>a</w:t>
      </w:r>
      <w:r>
        <w:rPr>
          <w:rFonts w:ascii="Times New Roman" w:cs="Times New Roman" w:eastAsia="Times New Roman" w:hAnsi="Times New Roman"/>
          <w:sz w:val="20"/>
          <w:szCs w:val="20"/>
          <w:color w:val="auto"/>
        </w:rPr>
        <w:t xml:space="preserve"> Grundwasser verunreinigt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133985</wp:posOffset>
                </wp:positionV>
                <wp:extent cx="215963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55pt" to="191.55pt,10.5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133985</wp:posOffset>
                </wp:positionV>
                <wp:extent cx="50292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0.55pt" to="231.2pt,10.55pt" o:allowincell="f" strokecolor="#000000" strokeweight="0.9599pt"/>
            </w:pict>
          </mc:Fallback>
        </mc:AlternateContent>
      </w:r>
    </w:p>
    <w:p>
      <w:pPr>
        <w:spacing w:after="0" w:line="237" w:lineRule="exact"/>
        <w:rPr>
          <w:sz w:val="20"/>
          <w:szCs w:val="20"/>
          <w:color w:val="auto"/>
        </w:rPr>
      </w:pPr>
    </w:p>
    <w:p>
      <w:pPr>
        <w:ind w:left="500" w:right="200"/>
        <w:spacing w:after="0" w:line="234" w:lineRule="auto"/>
        <w:rPr>
          <w:sz w:val="20"/>
          <w:szCs w:val="20"/>
          <w:color w:val="auto"/>
        </w:rPr>
      </w:pPr>
      <w:r>
        <w:rPr>
          <w:rFonts w:ascii="Times New Roman" w:cs="Times New Roman" w:eastAsia="Times New Roman" w:hAnsi="Times New Roman"/>
          <w:sz w:val="20"/>
          <w:szCs w:val="20"/>
          <w:color w:val="auto"/>
        </w:rPr>
        <w:t xml:space="preserve">Wahrscheinlichkeit von terroristischer 1 - 5 </w:t>
      </w:r>
      <w:r>
        <w:rPr>
          <w:rFonts w:ascii="Times New Roman" w:cs="Times New Roman" w:eastAsia="Times New Roman" w:hAnsi="Times New Roman"/>
          <w:sz w:val="24"/>
          <w:szCs w:val="24"/>
          <w:color w:val="auto"/>
          <w:vertAlign w:val="superscript"/>
        </w:rPr>
        <w:t>a</w:t>
      </w:r>
      <w:r>
        <w:rPr>
          <w:rFonts w:ascii="Times New Roman" w:cs="Times New Roman" w:eastAsia="Times New Roman" w:hAnsi="Times New Roman"/>
          <w:sz w:val="20"/>
          <w:szCs w:val="20"/>
          <w:color w:val="auto"/>
        </w:rPr>
        <w:t xml:space="preserve"> Sabotage am Endlager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-13970</wp:posOffset>
                </wp:positionV>
                <wp:extent cx="21596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999pt" to="191.55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-13970</wp:posOffset>
                </wp:positionV>
                <wp:extent cx="50292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0999pt" to="231.2pt,-1.0999pt" o:allowincell="f" strokecolor="#000000" strokeweight="0.9599pt"/>
            </w:pict>
          </mc:Fallback>
        </mc:AlternateContent>
      </w:r>
    </w:p>
    <w:p>
      <w:pPr>
        <w:spacing w:after="0" w:line="3" w:lineRule="exact"/>
        <w:rPr>
          <w:sz w:val="20"/>
          <w:szCs w:val="20"/>
          <w:color w:val="auto"/>
        </w:rPr>
      </w:pPr>
    </w:p>
    <w:p>
      <w:pPr>
        <w:ind w:left="500" w:right="260"/>
        <w:spacing w:after="0" w:line="234" w:lineRule="auto"/>
        <w:rPr>
          <w:sz w:val="20"/>
          <w:szCs w:val="20"/>
          <w:color w:val="auto"/>
        </w:rPr>
      </w:pPr>
      <w:r>
        <w:rPr>
          <w:rFonts w:ascii="Times New Roman" w:cs="Times New Roman" w:eastAsia="Times New Roman" w:hAnsi="Times New Roman"/>
          <w:sz w:val="20"/>
          <w:szCs w:val="20"/>
          <w:color w:val="auto"/>
        </w:rPr>
        <w:t>Ein Unfall würde sicher Todesfälle ver- 1 -5</w:t>
      </w:r>
      <w:r>
        <w:rPr>
          <w:rFonts w:ascii="Times New Roman" w:cs="Times New Roman" w:eastAsia="Times New Roman" w:hAnsi="Times New Roman"/>
          <w:sz w:val="24"/>
          <w:szCs w:val="24"/>
          <w:color w:val="auto"/>
          <w:vertAlign w:val="superscript"/>
        </w:rPr>
        <w:t>b</w:t>
      </w:r>
      <w:r>
        <w:rPr>
          <w:rFonts w:ascii="Times New Roman" w:cs="Times New Roman" w:eastAsia="Times New Roman" w:hAnsi="Times New Roman"/>
          <w:sz w:val="20"/>
          <w:szCs w:val="20"/>
          <w:color w:val="auto"/>
        </w:rPr>
        <w:t xml:space="preserve"> ursachen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133985</wp:posOffset>
                </wp:positionV>
                <wp:extent cx="215963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55pt" to="191.55pt,10.5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133985</wp:posOffset>
                </wp:positionV>
                <wp:extent cx="50292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0.55pt" to="231.2pt,10.55pt" o:allowincell="f" strokecolor="#000000" strokeweight="0.9599pt"/>
            </w:pict>
          </mc:Fallback>
        </mc:AlternateContent>
      </w:r>
    </w:p>
    <w:p>
      <w:pPr>
        <w:spacing w:after="0" w:line="237" w:lineRule="exact"/>
        <w:rPr>
          <w:sz w:val="20"/>
          <w:szCs w:val="20"/>
          <w:color w:val="auto"/>
        </w:rPr>
      </w:pPr>
    </w:p>
    <w:p>
      <w:pPr>
        <w:ind w:left="500" w:right="260"/>
        <w:spacing w:after="0" w:line="234" w:lineRule="auto"/>
        <w:rPr>
          <w:sz w:val="20"/>
          <w:szCs w:val="20"/>
          <w:color w:val="auto"/>
        </w:rPr>
      </w:pPr>
      <w:r>
        <w:rPr>
          <w:rFonts w:ascii="Times New Roman" w:cs="Times New Roman" w:eastAsia="Times New Roman" w:hAnsi="Times New Roman"/>
          <w:sz w:val="20"/>
          <w:szCs w:val="20"/>
          <w:color w:val="auto"/>
        </w:rPr>
        <w:t>Ein Unfall könnte viele Personen auf 1 -5</w:t>
      </w:r>
      <w:r>
        <w:rPr>
          <w:rFonts w:ascii="Times New Roman" w:cs="Times New Roman" w:eastAsia="Times New Roman" w:hAnsi="Times New Roman"/>
          <w:sz w:val="24"/>
          <w:szCs w:val="24"/>
          <w:color w:val="auto"/>
          <w:vertAlign w:val="superscript"/>
        </w:rPr>
        <w:t>b</w:t>
      </w:r>
      <w:r>
        <w:rPr>
          <w:rFonts w:ascii="Times New Roman" w:cs="Times New Roman" w:eastAsia="Times New Roman" w:hAnsi="Times New Roman"/>
          <w:sz w:val="20"/>
          <w:szCs w:val="20"/>
          <w:color w:val="auto"/>
        </w:rPr>
        <w:t xml:space="preserve"> einmal töten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-13970</wp:posOffset>
                </wp:positionV>
                <wp:extent cx="215963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999pt" to="191.55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-13970</wp:posOffset>
                </wp:positionV>
                <wp:extent cx="50292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0999pt" to="231.2pt,-1.0999pt" o:allowincell="f" strokecolor="#000000" strokeweight="0.9599pt"/>
            </w:pict>
          </mc:Fallback>
        </mc:AlternateContent>
      </w:r>
    </w:p>
    <w:p>
      <w:pPr>
        <w:spacing w:after="0" w:line="3" w:lineRule="exact"/>
        <w:rPr>
          <w:sz w:val="20"/>
          <w:szCs w:val="20"/>
          <w:color w:val="auto"/>
        </w:rPr>
      </w:pPr>
    </w:p>
    <w:p>
      <w:pPr>
        <w:ind w:left="500" w:right="260"/>
        <w:spacing w:after="0" w:line="234" w:lineRule="auto"/>
        <w:rPr>
          <w:sz w:val="20"/>
          <w:szCs w:val="20"/>
          <w:color w:val="auto"/>
        </w:rPr>
      </w:pPr>
      <w:r>
        <w:rPr>
          <w:rFonts w:ascii="Times New Roman" w:cs="Times New Roman" w:eastAsia="Times New Roman" w:hAnsi="Times New Roman"/>
          <w:sz w:val="20"/>
          <w:szCs w:val="20"/>
          <w:color w:val="auto"/>
        </w:rPr>
        <w:t>Endlager stimuliert das ökonomische 1 -5</w:t>
      </w:r>
      <w:r>
        <w:rPr>
          <w:rFonts w:ascii="Times New Roman" w:cs="Times New Roman" w:eastAsia="Times New Roman" w:hAnsi="Times New Roman"/>
          <w:sz w:val="24"/>
          <w:szCs w:val="24"/>
          <w:color w:val="auto"/>
          <w:vertAlign w:val="superscript"/>
        </w:rPr>
        <w:t>b</w:t>
      </w:r>
      <w:r>
        <w:rPr>
          <w:rFonts w:ascii="Times New Roman" w:cs="Times New Roman" w:eastAsia="Times New Roman" w:hAnsi="Times New Roman"/>
          <w:sz w:val="20"/>
          <w:szCs w:val="20"/>
          <w:color w:val="auto"/>
        </w:rPr>
        <w:t xml:space="preserve"> Wachstum in der näheren Umgebung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-13970</wp:posOffset>
                </wp:positionV>
                <wp:extent cx="215963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0999pt" to="191.55pt,-1.0999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-13970</wp:posOffset>
                </wp:positionV>
                <wp:extent cx="50292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1.0999pt" to="231.2pt,-1.0999pt" o:allowincell="f" strokecolor="#000000" strokeweight="0.96pt"/>
            </w:pict>
          </mc:Fallback>
        </mc:AlternateContent>
      </w:r>
    </w:p>
    <w:p>
      <w:pPr>
        <w:spacing w:after="0" w:line="20" w:lineRule="exact"/>
        <w:rPr>
          <w:sz w:val="20"/>
          <w:szCs w:val="20"/>
          <w:color w:val="auto"/>
        </w:rPr>
      </w:pPr>
      <w:r>
        <w:rPr>
          <w:sz w:val="20"/>
          <w:szCs w:val="20"/>
          <w:color w:val="auto"/>
        </w:rPr>
        <w:br w:type="column"/>
      </w:r>
    </w:p>
    <w:p>
      <w:pPr>
        <w:ind w:right="260"/>
        <w:spacing w:after="0" w:line="237" w:lineRule="auto"/>
        <w:rPr>
          <w:sz w:val="20"/>
          <w:szCs w:val="20"/>
          <w:color w:val="auto"/>
        </w:rPr>
      </w:pPr>
      <w:r>
        <w:rPr>
          <w:rFonts w:ascii="Times New Roman" w:cs="Times New Roman" w:eastAsia="Times New Roman" w:hAnsi="Times New Roman"/>
          <w:sz w:val="20"/>
          <w:szCs w:val="20"/>
          <w:color w:val="auto"/>
        </w:rPr>
        <w:t>Wahrgenommene Ernsthaftigkeit des Ri- 0-10</w:t>
      </w:r>
      <w:r>
        <w:rPr>
          <w:rFonts w:ascii="Times New Roman" w:cs="Times New Roman" w:eastAsia="Times New Roman" w:hAnsi="Times New Roman"/>
          <w:sz w:val="24"/>
          <w:szCs w:val="24"/>
          <w:color w:val="auto"/>
          <w:vertAlign w:val="superscript"/>
        </w:rPr>
        <w:t>c</w:t>
      </w:r>
      <w:r>
        <w:rPr>
          <w:rFonts w:ascii="Times New Roman" w:cs="Times New Roman" w:eastAsia="Times New Roman" w:hAnsi="Times New Roman"/>
          <w:sz w:val="20"/>
          <w:szCs w:val="20"/>
          <w:color w:val="auto"/>
        </w:rPr>
        <w:t xml:space="preserve"> sikos eines Endlagers in Y.M. für die ei-gene Person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-402590</wp:posOffset>
                </wp:positionH>
                <wp:positionV relativeFrom="paragraph">
                  <wp:posOffset>-13970</wp:posOffset>
                </wp:positionV>
                <wp:extent cx="35941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1.0999pt" to="-3.3999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21590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999pt" to="166.65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-13970</wp:posOffset>
                </wp:positionV>
                <wp:extent cx="46609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1.0999pt" to="203.4pt,-1.0999pt" o:allowincell="f" strokecolor="#000000" strokeweight="0.9599pt"/>
            </w:pict>
          </mc:Fallback>
        </mc:AlternateContent>
      </w:r>
    </w:p>
    <w:p>
      <w:pPr>
        <w:spacing w:after="0" w:line="3" w:lineRule="exact"/>
        <w:rPr>
          <w:sz w:val="20"/>
          <w:szCs w:val="20"/>
          <w:color w:val="auto"/>
        </w:rPr>
      </w:pPr>
    </w:p>
    <w:p>
      <w:pPr>
        <w:ind w:right="360"/>
        <w:spacing w:after="0" w:line="234" w:lineRule="auto"/>
        <w:rPr>
          <w:sz w:val="20"/>
          <w:szCs w:val="20"/>
          <w:color w:val="auto"/>
        </w:rPr>
      </w:pPr>
      <w:r>
        <w:rPr>
          <w:rFonts w:ascii="Times New Roman" w:cs="Times New Roman" w:eastAsia="Times New Roman" w:hAnsi="Times New Roman"/>
          <w:sz w:val="20"/>
          <w:szCs w:val="20"/>
          <w:color w:val="auto"/>
        </w:rPr>
        <w:t>Endlager in Y.M. schafft für zukünftige 1-5</w:t>
      </w:r>
      <w:r>
        <w:rPr>
          <w:rFonts w:ascii="Times New Roman" w:cs="Times New Roman" w:eastAsia="Times New Roman" w:hAnsi="Times New Roman"/>
          <w:sz w:val="24"/>
          <w:szCs w:val="24"/>
          <w:color w:val="auto"/>
          <w:vertAlign w:val="superscript"/>
        </w:rPr>
        <w:t>b</w:t>
      </w:r>
      <w:r>
        <w:rPr>
          <w:rFonts w:ascii="Times New Roman" w:cs="Times New Roman" w:eastAsia="Times New Roman" w:hAnsi="Times New Roman"/>
          <w:sz w:val="20"/>
          <w:szCs w:val="20"/>
          <w:color w:val="auto"/>
        </w:rPr>
        <w:t xml:space="preserve"> Generationen ein ernsthaftes Risiko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-402590</wp:posOffset>
                </wp:positionH>
                <wp:positionV relativeFrom="paragraph">
                  <wp:posOffset>133985</wp:posOffset>
                </wp:positionV>
                <wp:extent cx="35941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10.55pt" to="-3.3999pt,10.5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133985</wp:posOffset>
                </wp:positionV>
                <wp:extent cx="21590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55pt" to="166.65pt,10.5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133985</wp:posOffset>
                </wp:positionV>
                <wp:extent cx="46609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10.55pt" to="203.4pt,10.55pt" o:allowincell="f" strokecolor="#000000" strokeweight="0.9599pt"/>
            </w:pict>
          </mc:Fallback>
        </mc:AlternateContent>
      </w:r>
    </w:p>
    <w:p>
      <w:pPr>
        <w:spacing w:after="0" w:line="237" w:lineRule="exact"/>
        <w:rPr>
          <w:sz w:val="20"/>
          <w:szCs w:val="20"/>
          <w:color w:val="auto"/>
        </w:rPr>
      </w:pPr>
    </w:p>
    <w:p>
      <w:pPr>
        <w:ind w:right="320"/>
        <w:spacing w:after="0" w:line="237" w:lineRule="auto"/>
        <w:rPr>
          <w:sz w:val="20"/>
          <w:szCs w:val="20"/>
          <w:color w:val="auto"/>
        </w:rPr>
      </w:pPr>
      <w:r>
        <w:rPr>
          <w:rFonts w:ascii="Times New Roman" w:cs="Times New Roman" w:eastAsia="Times New Roman" w:hAnsi="Times New Roman"/>
          <w:sz w:val="20"/>
          <w:szCs w:val="20"/>
          <w:color w:val="auto"/>
        </w:rPr>
        <w:t xml:space="preserve">Personen, die nahe bei einem Endlager 1-5 </w:t>
      </w:r>
      <w:r>
        <w:rPr>
          <w:rFonts w:ascii="Times New Roman" w:cs="Times New Roman" w:eastAsia="Times New Roman" w:hAnsi="Times New Roman"/>
          <w:sz w:val="24"/>
          <w:szCs w:val="24"/>
          <w:color w:val="auto"/>
          <w:vertAlign w:val="superscript"/>
        </w:rPr>
        <w:t>b</w:t>
      </w:r>
      <w:r>
        <w:rPr>
          <w:rFonts w:ascii="Times New Roman" w:cs="Times New Roman" w:eastAsia="Times New Roman" w:hAnsi="Times New Roman"/>
          <w:sz w:val="20"/>
          <w:szCs w:val="20"/>
          <w:color w:val="auto"/>
        </w:rPr>
        <w:t xml:space="preserve"> wohnen, sind dazu in der Lage, das Risi-ko zu kontrollieren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-402590</wp:posOffset>
                </wp:positionH>
                <wp:positionV relativeFrom="paragraph">
                  <wp:posOffset>-13970</wp:posOffset>
                </wp:positionV>
                <wp:extent cx="35941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1.0999pt" to="-3.3999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21590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999pt" to="166.65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-13970</wp:posOffset>
                </wp:positionV>
                <wp:extent cx="46609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1.0999pt" to="203.4pt,-1.0999pt" o:allowincell="f" strokecolor="#000000" strokeweight="0.9599pt"/>
            </w:pict>
          </mc:Fallback>
        </mc:AlternateContent>
      </w:r>
    </w:p>
    <w:p>
      <w:pPr>
        <w:spacing w:after="0" w:line="3" w:lineRule="exact"/>
        <w:rPr>
          <w:sz w:val="20"/>
          <w:szCs w:val="20"/>
          <w:color w:val="auto"/>
        </w:rPr>
      </w:pPr>
    </w:p>
    <w:p>
      <w:pPr>
        <w:ind w:right="320"/>
        <w:spacing w:after="0" w:line="234" w:lineRule="auto"/>
        <w:rPr>
          <w:sz w:val="20"/>
          <w:szCs w:val="20"/>
          <w:color w:val="auto"/>
        </w:rPr>
      </w:pPr>
      <w:r>
        <w:rPr>
          <w:rFonts w:ascii="Times New Roman" w:cs="Times New Roman" w:eastAsia="Times New Roman" w:hAnsi="Times New Roman"/>
          <w:sz w:val="20"/>
          <w:szCs w:val="20"/>
          <w:color w:val="auto"/>
        </w:rPr>
        <w:t xml:space="preserve">Ein Endlager 'would be dreaded' für die 1-5 </w:t>
      </w:r>
      <w:r>
        <w:rPr>
          <w:rFonts w:ascii="Times New Roman" w:cs="Times New Roman" w:eastAsia="Times New Roman" w:hAnsi="Times New Roman"/>
          <w:sz w:val="24"/>
          <w:szCs w:val="24"/>
          <w:color w:val="auto"/>
          <w:vertAlign w:val="superscript"/>
        </w:rPr>
        <w:t>b</w:t>
      </w:r>
      <w:r>
        <w:rPr>
          <w:rFonts w:ascii="Times New Roman" w:cs="Times New Roman" w:eastAsia="Times New Roman" w:hAnsi="Times New Roman"/>
          <w:sz w:val="20"/>
          <w:szCs w:val="20"/>
          <w:color w:val="auto"/>
        </w:rPr>
        <w:t xml:space="preserve"> naheliegenden BewohnerInnen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-402590</wp:posOffset>
                </wp:positionH>
                <wp:positionV relativeFrom="paragraph">
                  <wp:posOffset>-13970</wp:posOffset>
                </wp:positionV>
                <wp:extent cx="35941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1.0999pt" to="-3.3999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21590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999pt" to="166.65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-13970</wp:posOffset>
                </wp:positionV>
                <wp:extent cx="46609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1.0999pt" to="203.4pt,-1.0999pt" o:allowincell="f" strokecolor="#000000" strokeweight="0.9599pt"/>
            </w:pict>
          </mc:Fallback>
        </mc:AlternateContent>
      </w:r>
    </w:p>
    <w:p>
      <w:pPr>
        <w:spacing w:after="0" w:line="3" w:lineRule="exact"/>
        <w:rPr>
          <w:sz w:val="20"/>
          <w:szCs w:val="20"/>
          <w:color w:val="auto"/>
        </w:rPr>
      </w:pPr>
    </w:p>
    <w:p>
      <w:pPr>
        <w:ind w:right="260"/>
        <w:spacing w:after="0" w:line="237" w:lineRule="auto"/>
        <w:rPr>
          <w:sz w:val="20"/>
          <w:szCs w:val="20"/>
          <w:color w:val="auto"/>
        </w:rPr>
      </w:pPr>
      <w:r>
        <w:rPr>
          <w:rFonts w:ascii="Times New Roman" w:cs="Times New Roman" w:eastAsia="Times New Roman" w:hAnsi="Times New Roman"/>
          <w:sz w:val="20"/>
          <w:szCs w:val="20"/>
          <w:color w:val="auto"/>
        </w:rPr>
        <w:t>Vertrauen in die Regierung des Bundes- 1-10</w:t>
      </w:r>
      <w:r>
        <w:rPr>
          <w:rFonts w:ascii="Times New Roman" w:cs="Times New Roman" w:eastAsia="Times New Roman" w:hAnsi="Times New Roman"/>
          <w:sz w:val="24"/>
          <w:szCs w:val="24"/>
          <w:color w:val="auto"/>
          <w:vertAlign w:val="superscript"/>
        </w:rPr>
        <w:t>d</w:t>
      </w:r>
      <w:r>
        <w:rPr>
          <w:rFonts w:ascii="Times New Roman" w:cs="Times New Roman" w:eastAsia="Times New Roman" w:hAnsi="Times New Roman"/>
          <w:sz w:val="20"/>
          <w:szCs w:val="20"/>
          <w:color w:val="auto"/>
        </w:rPr>
        <w:t xml:space="preserve"> staates, das Endlager so sicher als mög-lich zu machen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-402590</wp:posOffset>
                </wp:positionH>
                <wp:positionV relativeFrom="paragraph">
                  <wp:posOffset>-13970</wp:posOffset>
                </wp:positionV>
                <wp:extent cx="35941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1.0999pt" to="-3.3999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-13970</wp:posOffset>
                </wp:positionV>
                <wp:extent cx="21590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1.0999pt" to="166.65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-13970</wp:posOffset>
                </wp:positionV>
                <wp:extent cx="46609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1.0999pt" to="203.4pt,-1.09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-402590</wp:posOffset>
                </wp:positionH>
                <wp:positionV relativeFrom="paragraph">
                  <wp:posOffset>313055</wp:posOffset>
                </wp:positionV>
                <wp:extent cx="35941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24.65pt" to="-3.3999pt,24.6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313055</wp:posOffset>
                </wp:positionV>
                <wp:extent cx="21590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24.65pt" to="166.65pt,24.6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313055</wp:posOffset>
                </wp:positionV>
                <wp:extent cx="46609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24.65pt" to="203.4pt,24.6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-402590</wp:posOffset>
                </wp:positionH>
                <wp:positionV relativeFrom="paragraph">
                  <wp:posOffset>640715</wp:posOffset>
                </wp:positionV>
                <wp:extent cx="35941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941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99pt,50.45pt" to="-3.3999pt,50.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640715</wp:posOffset>
                </wp:positionV>
                <wp:extent cx="21590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00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99pt,50.45pt" to="166.65pt,50.45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2117090</wp:posOffset>
                </wp:positionH>
                <wp:positionV relativeFrom="paragraph">
                  <wp:posOffset>640715</wp:posOffset>
                </wp:positionV>
                <wp:extent cx="46609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7pt,50.45pt" to="203.4pt,50.45pt" o:allowincell="f" strokecolor="#000000" strokeweight="0.96pt"/>
            </w:pict>
          </mc:Fallback>
        </mc:AlternateContent>
      </w:r>
    </w:p>
    <w:p>
      <w:pPr>
        <w:spacing w:after="0" w:line="1055" w:lineRule="exact"/>
        <w:rPr>
          <w:sz w:val="20"/>
          <w:szCs w:val="20"/>
          <w:color w:val="auto"/>
        </w:rPr>
      </w:pPr>
    </w:p>
    <w:p>
      <w:pPr>
        <w:sectPr>
          <w:pgSz w:w="11900" w:h="16840" w:orient="portrait"/>
          <w:cols w:equalWidth="0" w:num="2">
            <w:col w:w="4540" w:space="720"/>
            <w:col w:w="4080"/>
          </w:cols>
          <w:pgMar w:left="1440" w:top="835" w:right="1120" w:bottom="813" w:gutter="0" w:footer="0" w:header="0"/>
          <w:type w:val="continuous"/>
        </w:sectPr>
      </w:pPr>
    </w:p>
    <w:p>
      <w:pPr>
        <w:ind w:left="500"/>
        <w:spacing w:after="0"/>
        <w:rPr>
          <w:sz w:val="20"/>
          <w:szCs w:val="20"/>
          <w:color w:val="auto"/>
        </w:rPr>
      </w:pPr>
      <w:r>
        <w:rPr>
          <w:rFonts w:ascii="Times New Roman" w:cs="Times New Roman" w:eastAsia="Times New Roman" w:hAnsi="Times New Roman"/>
          <w:sz w:val="20"/>
          <w:szCs w:val="20"/>
          <w:color w:val="auto"/>
        </w:rPr>
        <w:t>Distanz der Wohnung des/der Befragten 16-383</w:t>
      </w:r>
    </w:p>
    <w:p>
      <w:pPr>
        <w:spacing w:after="0" w:line="26" w:lineRule="exact"/>
        <w:rPr>
          <w:sz w:val="20"/>
          <w:szCs w:val="20"/>
          <w:color w:val="auto"/>
        </w:rPr>
      </w:pPr>
    </w:p>
    <w:p>
      <w:pPr>
        <w:ind w:left="500"/>
        <w:spacing w:after="0"/>
        <w:tabs>
          <w:tab w:leader="none" w:pos="3880" w:val="left"/>
        </w:tabs>
        <w:rPr>
          <w:sz w:val="20"/>
          <w:szCs w:val="20"/>
          <w:color w:val="auto"/>
        </w:rPr>
      </w:pPr>
      <w:r>
        <w:rPr>
          <w:rFonts w:ascii="Times New Roman" w:cs="Times New Roman" w:eastAsia="Times New Roman" w:hAnsi="Times New Roman"/>
          <w:sz w:val="20"/>
          <w:szCs w:val="20"/>
          <w:color w:val="auto"/>
        </w:rPr>
        <w:t>zu Yucca Mountain (Y.M.)</w:t>
      </w:r>
      <w:r>
        <w:rPr>
          <w:sz w:val="20"/>
          <w:szCs w:val="20"/>
          <w:color w:val="auto"/>
        </w:rPr>
        <w:tab/>
      </w:r>
      <w:r>
        <w:rPr>
          <w:rFonts w:ascii="Times New Roman" w:cs="Times New Roman" w:eastAsia="Times New Roman" w:hAnsi="Times New Roman"/>
          <w:sz w:val="19"/>
          <w:szCs w:val="19"/>
          <w:color w:val="auto"/>
        </w:rPr>
        <w:t>Meilen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-635</wp:posOffset>
                </wp:positionV>
                <wp:extent cx="215963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0.0499pt" to="191.55pt,-0.04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2433320</wp:posOffset>
                </wp:positionH>
                <wp:positionV relativeFrom="paragraph">
                  <wp:posOffset>-635</wp:posOffset>
                </wp:positionV>
                <wp:extent cx="50292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6pt,-0.0499pt" to="231.2pt,-0.04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2937510</wp:posOffset>
                </wp:positionH>
                <wp:positionV relativeFrom="paragraph">
                  <wp:posOffset>-635</wp:posOffset>
                </wp:positionV>
                <wp:extent cx="35877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877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3pt,-0.0499pt" to="259.55pt,-0.04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3296920</wp:posOffset>
                </wp:positionH>
                <wp:positionV relativeFrom="paragraph">
                  <wp:posOffset>-635</wp:posOffset>
                </wp:positionV>
                <wp:extent cx="215963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5963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9.6pt,-0.0499pt" to="429.65pt,-0.0499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5457190</wp:posOffset>
                </wp:positionH>
                <wp:positionV relativeFrom="paragraph">
                  <wp:posOffset>-635</wp:posOffset>
                </wp:positionV>
                <wp:extent cx="46609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609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7pt,-0.0499pt" to="466.4pt,-0.0499pt" o:allowincell="f" strokecolor="#000000" strokeweight="0.9599pt"/>
            </w:pict>
          </mc:Fallback>
        </mc:AlternateContent>
      </w:r>
    </w:p>
    <w:p>
      <w:pPr>
        <w:ind w:left="720" w:hanging="289"/>
        <w:spacing w:after="0"/>
        <w:tabs>
          <w:tab w:leader="none" w:pos="7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1=sehr unwahrscheinlich, 5=sehr wahrscheinlich</w:t>
      </w:r>
    </w:p>
    <w:p>
      <w:pPr>
        <w:spacing w:after="0" w:line="13" w:lineRule="exact"/>
        <w:rPr>
          <w:rFonts w:ascii="Times New Roman" w:cs="Times New Roman" w:eastAsia="Times New Roman" w:hAnsi="Times New Roman"/>
          <w:sz w:val="20"/>
          <w:szCs w:val="20"/>
          <w:color w:val="auto"/>
        </w:rPr>
      </w:pPr>
    </w:p>
    <w:p>
      <w:pPr>
        <w:ind w:left="720" w:hanging="289"/>
        <w:spacing w:after="0"/>
        <w:tabs>
          <w:tab w:leader="none" w:pos="7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1=stimme überhaupt nicht zu, 5=stimme voll und ganz zu</w:t>
      </w:r>
    </w:p>
    <w:p>
      <w:pPr>
        <w:spacing w:after="0" w:line="4" w:lineRule="exact"/>
        <w:rPr>
          <w:rFonts w:ascii="Times New Roman" w:cs="Times New Roman" w:eastAsia="Times New Roman" w:hAnsi="Times New Roman"/>
          <w:sz w:val="20"/>
          <w:szCs w:val="20"/>
          <w:color w:val="auto"/>
        </w:rPr>
      </w:pPr>
    </w:p>
    <w:p>
      <w:pPr>
        <w:ind w:left="720" w:hanging="289"/>
        <w:spacing w:after="0"/>
        <w:tabs>
          <w:tab w:leader="none" w:pos="720"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0=nicht ernsthaft, 10=sehr ernsthaft</w:t>
      </w:r>
    </w:p>
    <w:p>
      <w:pPr>
        <w:spacing w:after="0" w:line="4" w:lineRule="exact"/>
        <w:rPr>
          <w:rFonts w:ascii="Times New Roman" w:cs="Times New Roman" w:eastAsia="Times New Roman" w:hAnsi="Times New Roman"/>
          <w:sz w:val="20"/>
          <w:szCs w:val="20"/>
          <w:color w:val="auto"/>
        </w:rPr>
      </w:pPr>
    </w:p>
    <w:p>
      <w:pPr>
        <w:jc w:val="center"/>
        <w:ind w:left="440" w:right="4220" w:hanging="9"/>
        <w:spacing w:after="0" w:line="253" w:lineRule="auto"/>
        <w:tabs>
          <w:tab w:leader="none" w:pos="723" w:val="left"/>
        </w:tabs>
        <w:numPr>
          <w:ilvl w:val="0"/>
          <w:numId w:val="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0=keinerlei Vertrauen, 10=vollständiges Vertrauen (Quelle: Kunreuther et al. 1990: 472, eigene Übersetzung)</w:t>
      </w:r>
    </w:p>
    <w:p>
      <w:pPr>
        <w:spacing w:after="0" w:line="200" w:lineRule="exact"/>
        <w:rPr>
          <w:sz w:val="20"/>
          <w:szCs w:val="20"/>
          <w:color w:val="auto"/>
        </w:rPr>
      </w:pPr>
    </w:p>
    <w:p>
      <w:pPr>
        <w:spacing w:after="0" w:line="227" w:lineRule="exact"/>
        <w:rPr>
          <w:sz w:val="20"/>
          <w:szCs w:val="20"/>
          <w:color w:val="auto"/>
        </w:rPr>
      </w:pPr>
    </w:p>
    <w:p>
      <w:pPr>
        <w:jc w:val="both"/>
        <w:ind w:left="440" w:firstLine="283"/>
        <w:spacing w:after="0" w:line="261" w:lineRule="auto"/>
        <w:rPr>
          <w:sz w:val="20"/>
          <w:szCs w:val="20"/>
          <w:color w:val="auto"/>
        </w:rPr>
      </w:pPr>
      <w:r>
        <w:rPr>
          <w:rFonts w:ascii="Times New Roman" w:cs="Times New Roman" w:eastAsia="Times New Roman" w:hAnsi="Times New Roman"/>
          <w:sz w:val="23"/>
          <w:szCs w:val="23"/>
          <w:color w:val="auto"/>
        </w:rPr>
        <w:t>Die Tests und der Vergleich der beiden Modelle erfolgten jeweils mittels logistischer Re-gressionen. Als abhängige Variable diente die Frage "If a vote were held today on building a permanent repository, where would you vote to locate the repository?" (Kunreuther et al. 1990:</w:t>
      </w:r>
    </w:p>
    <w:p>
      <w:pPr>
        <w:spacing w:after="0" w:line="2" w:lineRule="exact"/>
        <w:rPr>
          <w:sz w:val="20"/>
          <w:szCs w:val="20"/>
          <w:color w:val="auto"/>
        </w:rPr>
      </w:pPr>
    </w:p>
    <w:p>
      <w:pPr>
        <w:jc w:val="both"/>
        <w:ind w:left="440" w:hanging="9"/>
        <w:spacing w:after="0" w:line="243" w:lineRule="auto"/>
        <w:tabs>
          <w:tab w:leader="none" w:pos="936"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Als Antwortalternativen standen zur Verfügung: Yocca Mountain, Hanford, Deaf Smith und keiner der Orte. Für die Analyse wurde diese Variable dichotomosiert in 'Yucca Mountain' und 'Nicht Yucca Mountain'. Die nachfolgend berichteten Ergebnisse basieren auf Analysen der Angaben von über 900 befragten Personen, die im Staat Nevada leben. Dabei wurden Personen aus den beiden Counties, die am nächsten an Yucca Mountain liegen, überrepräsen-tiert. Die Erhebung erfolgte im Jahr 1987.</w:t>
      </w:r>
    </w:p>
    <w:p>
      <w:pPr>
        <w:spacing w:after="0" w:line="1" w:lineRule="exact"/>
        <w:rPr>
          <w:rFonts w:ascii="Times New Roman" w:cs="Times New Roman" w:eastAsia="Times New Roman" w:hAnsi="Times New Roman"/>
          <w:sz w:val="24"/>
          <w:szCs w:val="24"/>
          <w:color w:val="auto"/>
        </w:rPr>
      </w:pPr>
    </w:p>
    <w:p>
      <w:pPr>
        <w:jc w:val="both"/>
        <w:ind w:left="440" w:firstLine="283"/>
        <w:spacing w:after="0" w:line="25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Die Überprüfung des Kosten-Nutzen-Modells mittels multipler logistischer Regression (jede in Tabelle 2 eingeführte Variable wird als Determinante aufgenommen) zeigt, dass zwei der Variablen nicht signifikant zur Erklärung beitragen können: die Wahrscheinlichkeit einer Sabotage durch TerroristInnen und die Entfernung vom Standort Y.M. zum Wohnort. Das Modell wurde erneut ohne diese Variablen geschätzt. Die geschätzten Koeffizienten für die verbleibenden Variablen weisen alle die theoretisch erwartete Richtung auf. Den stärksten Einzeleffekt zeigt die Variable ökonomische Vorteile. Kunreuther et al. stellen allerdings sehr richtig fest, dass dies nicht unbedingt auf die herausragende Bedeutung der Vorteile zurück-zuführen ist, da die Vorteile im Gegensatz zu den möglichen Risiken lediglich mit einem Indikator erfasst wurden. Als Fit-Maß für das Modell wird die C-Statistik angeführt (0.861), leider wird aber nicht ausgeführt, was die Autoren darunter verstehen. Vermutlich bezieht sich</w:t>
      </w:r>
    </w:p>
    <w:p>
      <w:pPr>
        <w:sectPr>
          <w:pgSz w:w="11900" w:h="16840" w:orient="portrait"/>
          <w:cols w:equalWidth="0" w:num="1">
            <w:col w:w="9340"/>
          </w:cols>
          <w:pgMar w:left="1440" w:top="835" w:right="1120" w:bottom="813" w:gutter="0" w:footer="0" w:header="0"/>
          <w:type w:val="continuous"/>
        </w:sectPr>
      </w:pPr>
    </w:p>
    <w:bookmarkStart w:id="15" w:name="page16"/>
    <w:bookmarkEnd w:id="15"/>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14</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237" w:lineRule="auto"/>
        <w:rPr>
          <w:sz w:val="20"/>
          <w:szCs w:val="20"/>
          <w:color w:val="auto"/>
        </w:rPr>
      </w:pPr>
      <w:r>
        <w:rPr>
          <w:rFonts w:ascii="Times New Roman" w:cs="Times New Roman" w:eastAsia="Times New Roman" w:hAnsi="Times New Roman"/>
          <w:sz w:val="24"/>
          <w:szCs w:val="24"/>
          <w:color w:val="auto"/>
        </w:rPr>
        <w:t>die Statistik auf den Anteil der korrekt klassifizierten Personen. Ist dies der Fall, so können mittels des spezifizierten Modells für 86% der Personen ihre Wahl korrekt vorhergesagt wer-den.</w:t>
      </w:r>
      <w:r>
        <w:rPr>
          <w:rFonts w:ascii="Times New Roman" w:cs="Times New Roman" w:eastAsia="Times New Roman" w:hAnsi="Times New Roman"/>
          <w:sz w:val="28"/>
          <w:szCs w:val="28"/>
          <w:color w:val="auto"/>
          <w:vertAlign w:val="superscript"/>
        </w:rPr>
        <w:t>17)</w:t>
      </w:r>
    </w:p>
    <w:p>
      <w:pPr>
        <w:spacing w:after="0" w:line="2" w:lineRule="exact"/>
        <w:rPr>
          <w:sz w:val="20"/>
          <w:szCs w:val="20"/>
          <w:color w:val="auto"/>
        </w:rPr>
      </w:pPr>
    </w:p>
    <w:p>
      <w:pPr>
        <w:jc w:val="both"/>
        <w:ind w:left="440" w:firstLine="283"/>
        <w:spacing w:after="0" w:line="243" w:lineRule="auto"/>
        <w:rPr>
          <w:sz w:val="20"/>
          <w:szCs w:val="20"/>
          <w:color w:val="auto"/>
        </w:rPr>
      </w:pPr>
      <w:r>
        <w:rPr>
          <w:rFonts w:ascii="Times New Roman" w:cs="Times New Roman" w:eastAsia="Times New Roman" w:hAnsi="Times New Roman"/>
          <w:sz w:val="24"/>
          <w:szCs w:val="24"/>
          <w:color w:val="auto"/>
        </w:rPr>
        <w:t>In einem zweiten Schritt wird dann die Angemessenheit des Modells der Risikowahrneh-mung unter zusätzlicher Berücksichtigung der ökonomischen Vorteile überprüft. Die Indikato-ren der Risikokontrolle und der Schrecklichkeit tragen nicht signifikant zur Erklärung der geäußerten Präferenz bei und werden daher im weiteren nicht berücksichtigt. Die Koeffizienten der in der Schätzung verbleibenden Variablen weisen alle das theoretisch erwartete Richtung auf. Insbesondere der relativ starke Effekt der Variablen Risiko für zukünftige Generationen kann mittels des Kosten-Nutzen- Modells nicht erklärt werden, da in diesem bei positiver Diskontrate davon auszugehen ist, dass Risiken, die in der Zukunft liegen, als weniger bedeut-sam eingestuft werden. Für den Modell-Fit wird eine C-Statistik von 0.9 berichtet, die Klassifi-zierung der Personen in ablehnende und unterstützende Personen gelingt also etwas besser als im Kosten-Nutzen-Modell.</w:t>
      </w:r>
    </w:p>
    <w:p>
      <w:pPr>
        <w:spacing w:after="0" w:line="2" w:lineRule="exact"/>
        <w:rPr>
          <w:sz w:val="20"/>
          <w:szCs w:val="20"/>
          <w:color w:val="auto"/>
        </w:rPr>
      </w:pPr>
    </w:p>
    <w:p>
      <w:pPr>
        <w:jc w:val="both"/>
        <w:ind w:left="440" w:firstLine="283"/>
        <w:spacing w:after="0" w:line="243" w:lineRule="auto"/>
        <w:rPr>
          <w:sz w:val="20"/>
          <w:szCs w:val="20"/>
          <w:color w:val="auto"/>
        </w:rPr>
      </w:pPr>
      <w:r>
        <w:rPr>
          <w:rFonts w:ascii="Times New Roman" w:cs="Times New Roman" w:eastAsia="Times New Roman" w:hAnsi="Times New Roman"/>
          <w:sz w:val="24"/>
          <w:szCs w:val="24"/>
          <w:color w:val="auto"/>
        </w:rPr>
        <w:t>Werden die Variablen des Kosten-Nutzen-Modells und des Modells der Risikowahrnehmung gemeinsam zur Schätzung des Wahlverhaltens eingeführt, zeigt sich, dass lediglich die Varia-blen des Modells der Risikowahrnehmung signifikant zur Erklärung beitragen können, anders formuliert: der Gehalt der Variablen des Kosten-Nutzen-Modells wird von den Variablen des Modells der Risikowahrnehmung vollständig erfasst, welche darüber hinaus noch einen zusätz-lichen eigenständigen Erklärungsbeitrag leisten.</w:t>
      </w:r>
    </w:p>
    <w:p>
      <w:pPr>
        <w:spacing w:after="0" w:line="1" w:lineRule="exact"/>
        <w:rPr>
          <w:sz w:val="20"/>
          <w:szCs w:val="20"/>
          <w:color w:val="auto"/>
        </w:rPr>
      </w:pPr>
    </w:p>
    <w:p>
      <w:pPr>
        <w:jc w:val="both"/>
        <w:ind w:left="440" w:firstLine="283"/>
        <w:spacing w:after="0" w:line="257" w:lineRule="auto"/>
        <w:rPr>
          <w:sz w:val="20"/>
          <w:szCs w:val="20"/>
          <w:color w:val="auto"/>
        </w:rPr>
      </w:pPr>
      <w:r>
        <w:rPr>
          <w:rFonts w:ascii="Times New Roman" w:cs="Times New Roman" w:eastAsia="Times New Roman" w:hAnsi="Times New Roman"/>
          <w:sz w:val="23"/>
          <w:szCs w:val="23"/>
          <w:color w:val="auto"/>
        </w:rPr>
        <w:t>Berücksichtigt man die Befunde bei Borcherding et al. (1986), welche die Sterbewahr-scheinlichkeit, die Gesundheitsgefahren und das Katastrophenpotential als Messindikatoren des Risikourteils verwendeten, so scheint eine Interpretation, nach der die Risikoindikatoren des Kosten-Nutzen-Modells lediglich indirekt über das Risikourteil einen Einfluss auf das Wahl-verhalten nehmen, als gerechtfertigt. Weiterhin dürfte davon auszugehen sein, dass die Wahr-scheinlichkeiten für mögliche Unfälle mit der Variablen Vertrauen konfundiert sind.</w:t>
      </w:r>
    </w:p>
    <w:p>
      <w:pPr>
        <w:spacing w:after="0" w:line="232" w:lineRule="exact"/>
        <w:rPr>
          <w:sz w:val="20"/>
          <w:szCs w:val="20"/>
          <w:color w:val="auto"/>
        </w:rPr>
      </w:pPr>
    </w:p>
    <w:p>
      <w:pPr>
        <w:jc w:val="both"/>
        <w:ind w:left="440" w:firstLine="283"/>
        <w:spacing w:after="0" w:line="369" w:lineRule="auto"/>
        <w:rPr>
          <w:sz w:val="20"/>
          <w:szCs w:val="20"/>
          <w:color w:val="auto"/>
        </w:rPr>
      </w:pPr>
      <w:r>
        <w:rPr>
          <w:rFonts w:ascii="Times New Roman" w:cs="Times New Roman" w:eastAsia="Times New Roman" w:hAnsi="Times New Roman"/>
          <w:sz w:val="24"/>
          <w:szCs w:val="24"/>
          <w:color w:val="auto"/>
        </w:rPr>
        <w:t>Hinsichtlich der für uns wichtigen Vertrauenskomponente weisen die Ergebnisse von Kun-reuther et al. darauf hin, dass der Einfluss des Vertrauens auf die Risikoakzeptanz zumindest nicht vollständig über direkte Einschätzungen (beliefs) bezüglich der Vorteile und Risiken vermittelt wird. Sie unterstützen damit eine theoretische Position, nach der Vertrauen als heuristischer Hinweis einen direkten Einfluss auf Akzeptanzentscheidungen von Individuen haben kann. Unklar bleibt allerdings, ob es sich hier um einen rein peripheren Prozess oder um einen systematischen Prozess 2. Ordnung handelt.</w:t>
      </w:r>
    </w:p>
    <w:p>
      <w:pPr>
        <w:spacing w:after="0" w:line="44" w:lineRule="exact"/>
        <w:rPr>
          <w:sz w:val="20"/>
          <w:szCs w:val="20"/>
          <w:color w:val="auto"/>
        </w:rPr>
      </w:pPr>
    </w:p>
    <w:p>
      <w:pPr>
        <w:jc w:val="both"/>
        <w:ind w:left="440" w:firstLine="283"/>
        <w:spacing w:after="0" w:line="388" w:lineRule="auto"/>
        <w:rPr>
          <w:sz w:val="20"/>
          <w:szCs w:val="20"/>
          <w:color w:val="auto"/>
        </w:rPr>
      </w:pPr>
      <w:r>
        <w:rPr>
          <w:rFonts w:ascii="Times New Roman" w:cs="Times New Roman" w:eastAsia="Times New Roman" w:hAnsi="Times New Roman"/>
          <w:sz w:val="23"/>
          <w:szCs w:val="23"/>
          <w:color w:val="auto"/>
        </w:rPr>
        <w:t>In einer anderen, hier zu referierenden Studie schlagen Flynn et al. (1992) ein Modell zur Erklärung des Grades der Ablehnung eines Endlagers von radioaktiven Abfalls (Yucca Moun-tain, Nevada) vor, welches auf drei Faktorengruppen zurückgreift: Vertrauen in die Leitung der Anlage, Risikowahrnehmung und die Wahrnehmung von Vorteilen und Kosten, die mit dem Endlager verbunden sind. Zur Überprüfung der Bedeutung der einzelnen Determinanten greifen sie auf die Schätzung eines Kausalmodells mit latenten Konstrukten (SEM-Technik) zurück.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100330</wp:posOffset>
                </wp:positionV>
                <wp:extent cx="182753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7.9pt" to="165.4pt,7.9pt" o:allowincell="f" strokecolor="#000000" strokeweight="0.9599pt"/>
            </w:pict>
          </mc:Fallback>
        </mc:AlternateContent>
      </w:r>
    </w:p>
    <w:p>
      <w:pPr>
        <w:sectPr>
          <w:pgSz w:w="11900" w:h="16840" w:orient="portrait"/>
          <w:cols w:equalWidth="0" w:num="1">
            <w:col w:w="9340"/>
          </w:cols>
          <w:pgMar w:left="1440" w:top="835" w:right="1120" w:bottom="524" w:gutter="0" w:footer="0" w:header="0"/>
        </w:sectPr>
      </w:pPr>
    </w:p>
    <w:p>
      <w:pPr>
        <w:spacing w:after="0" w:line="386" w:lineRule="exact"/>
        <w:rPr>
          <w:sz w:val="20"/>
          <w:szCs w:val="20"/>
          <w:color w:val="auto"/>
        </w:rPr>
      </w:pPr>
    </w:p>
    <w:p>
      <w:pPr>
        <w:ind w:left="880" w:right="20" w:hanging="449"/>
        <w:spacing w:after="0" w:line="276" w:lineRule="auto"/>
        <w:tabs>
          <w:tab w:leader="none" w:pos="88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Dieser hohe Anteil muss allerdings relativiert werden, da die Variable Wahl pro/gegen Y.M. sehr schief verteilt ist. Lediglich 26.7% der Befragten sprechen sich für den Standort Y.M. aus.</w:t>
      </w:r>
    </w:p>
    <w:p>
      <w:pPr>
        <w:sectPr>
          <w:pgSz w:w="11900" w:h="16840" w:orient="portrait"/>
          <w:cols w:equalWidth="0" w:num="1">
            <w:col w:w="9340"/>
          </w:cols>
          <w:pgMar w:left="1440" w:top="835" w:right="1120" w:bottom="524" w:gutter="0" w:footer="0" w:header="0"/>
          <w:type w:val="continuous"/>
        </w:sectPr>
      </w:pPr>
    </w:p>
    <w:bookmarkStart w:id="16" w:name="page17"/>
    <w:bookmarkEnd w:id="16"/>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15</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Abbildung 3 zeigt die Struktur des von Flynn et al. formulierten Modells.</w:t>
      </w:r>
      <w:r>
        <w:rPr>
          <w:rFonts w:ascii="Times New Roman" w:cs="Times New Roman" w:eastAsia="Times New Roman" w:hAnsi="Times New Roman"/>
          <w:sz w:val="28"/>
          <w:szCs w:val="28"/>
          <w:color w:val="auto"/>
          <w:vertAlign w:val="superscript"/>
        </w:rPr>
        <w:t>18)</w:t>
      </w:r>
    </w:p>
    <w:p>
      <w:pPr>
        <w:spacing w:after="0" w:line="200" w:lineRule="exact"/>
        <w:rPr>
          <w:sz w:val="20"/>
          <w:szCs w:val="20"/>
          <w:color w:val="auto"/>
        </w:rPr>
      </w:pPr>
    </w:p>
    <w:p>
      <w:pPr>
        <w:spacing w:after="0" w:line="23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Abbildung 3: Determinanten der Opposition gegen die Einrichtung eines atomaren Endlagers</w:t>
      </w:r>
    </w:p>
    <w:p>
      <w:pPr>
        <w:spacing w:after="0" w:line="12" w:lineRule="exact"/>
        <w:rPr>
          <w:sz w:val="20"/>
          <w:szCs w:val="20"/>
          <w:color w:val="auto"/>
        </w:rPr>
      </w:pPr>
    </w:p>
    <w:p>
      <w:pPr>
        <w:ind w:left="1800"/>
        <w:spacing w:after="0"/>
        <w:rPr>
          <w:sz w:val="20"/>
          <w:szCs w:val="20"/>
          <w:color w:val="auto"/>
        </w:rPr>
      </w:pPr>
      <w:r>
        <w:rPr>
          <w:rFonts w:ascii="Times New Roman" w:cs="Times New Roman" w:eastAsia="Times New Roman" w:hAnsi="Times New Roman"/>
          <w:sz w:val="24"/>
          <w:szCs w:val="24"/>
          <w:color w:val="auto"/>
        </w:rPr>
        <w:t>(Flynn et al. 1992: 420)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227330</wp:posOffset>
            </wp:positionH>
            <wp:positionV relativeFrom="paragraph">
              <wp:posOffset>297180</wp:posOffset>
            </wp:positionV>
            <wp:extent cx="5687695" cy="233172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extLst>
                    </a:blip>
                    <a:srcRect/>
                    <a:stretch>
                      <a:fillRect/>
                    </a:stretch>
                  </pic:blipFill>
                  <pic:spPr bwMode="auto">
                    <a:xfrm>
                      <a:off x="0" y="0"/>
                      <a:ext cx="5687695" cy="2331720"/>
                    </a:xfrm>
                    <a:prstGeom prst="rect">
                      <a:avLst/>
                    </a:prstGeom>
                    <a:noFill/>
                  </pic:spPr>
                </pic:pic>
              </a:graphicData>
            </a:graphic>
          </wp:anchor>
        </w:drawing>
      </w:r>
    </w:p>
    <w:p>
      <w:pPr>
        <w:spacing w:after="0" w:line="200" w:lineRule="exact"/>
        <w:rPr>
          <w:sz w:val="20"/>
          <w:szCs w:val="20"/>
          <w:color w:val="auto"/>
        </w:rPr>
      </w:pPr>
    </w:p>
    <w:p>
      <w:pPr>
        <w:spacing w:after="0" w:line="356" w:lineRule="exact"/>
        <w:rPr>
          <w:sz w:val="20"/>
          <w:szCs w:val="20"/>
          <w:color w:val="auto"/>
        </w:rPr>
      </w:pPr>
    </w:p>
    <w:tbl>
      <w:tblPr>
        <w:tblLayout w:type="fixed"/>
        <w:tblInd w:w="820" w:type="dxa"/>
        <w:tblCellMar>
          <w:top w:w="0" w:type="dxa"/>
          <w:left w:w="0" w:type="dxa"/>
          <w:bottom w:w="0" w:type="dxa"/>
          <w:right w:w="0" w:type="dxa"/>
        </w:tblCellMar>
      </w:tblPr>
      <w:tr>
        <w:trPr>
          <w:trHeight w:val="351"/>
        </w:trPr>
        <w:tc>
          <w:tcPr>
            <w:tcW w:w="3560" w:type="dxa"/>
            <w:vAlign w:val="bottom"/>
          </w:tcPr>
          <w:p>
            <w:pPr>
              <w:jc w:val="center"/>
              <w:ind w:left="1585"/>
              <w:spacing w:after="0"/>
              <w:rPr>
                <w:sz w:val="20"/>
                <w:szCs w:val="20"/>
                <w:color w:val="auto"/>
              </w:rPr>
            </w:pPr>
            <w:r>
              <w:rPr>
                <w:rFonts w:ascii="Arial" w:cs="Arial" w:eastAsia="Arial" w:hAnsi="Arial"/>
                <w:sz w:val="16"/>
                <w:szCs w:val="16"/>
                <w:color w:val="auto"/>
                <w:w w:val="97"/>
              </w:rPr>
              <w:t>wahrgenommenes</w:t>
            </w:r>
          </w:p>
        </w:tc>
        <w:tc>
          <w:tcPr>
            <w:tcW w:w="1020" w:type="dxa"/>
            <w:vAlign w:val="bottom"/>
          </w:tcPr>
          <w:p>
            <w:pPr>
              <w:jc w:val="right"/>
              <w:ind w:right="300"/>
              <w:spacing w:after="0"/>
              <w:rPr>
                <w:sz w:val="20"/>
                <w:szCs w:val="20"/>
                <w:color w:val="auto"/>
              </w:rPr>
            </w:pPr>
            <w:r>
              <w:rPr>
                <w:rFonts w:ascii="Arial" w:cs="Arial" w:eastAsia="Arial" w:hAnsi="Arial"/>
                <w:sz w:val="24"/>
                <w:szCs w:val="24"/>
                <w:color w:val="auto"/>
              </w:rPr>
              <w:t>(+)</w:t>
            </w:r>
          </w:p>
        </w:tc>
        <w:tc>
          <w:tcPr>
            <w:tcW w:w="3760" w:type="dxa"/>
            <w:vAlign w:val="bottom"/>
            <w:vMerge w:val="restart"/>
          </w:tcPr>
          <w:p>
            <w:pPr>
              <w:jc w:val="right"/>
              <w:ind w:right="2565"/>
              <w:spacing w:after="0"/>
              <w:rPr>
                <w:sz w:val="20"/>
                <w:szCs w:val="20"/>
                <w:color w:val="auto"/>
              </w:rPr>
            </w:pPr>
            <w:r>
              <w:rPr>
                <w:rFonts w:ascii="Arial" w:cs="Arial" w:eastAsia="Arial" w:hAnsi="Arial"/>
                <w:sz w:val="16"/>
                <w:szCs w:val="16"/>
                <w:color w:val="auto"/>
              </w:rPr>
              <w:t>Stigma</w:t>
            </w:r>
          </w:p>
        </w:tc>
        <w:tc>
          <w:tcPr>
            <w:tcW w:w="0" w:type="dxa"/>
            <w:vAlign w:val="bottom"/>
          </w:tcPr>
          <w:p>
            <w:pPr>
              <w:spacing w:after="0"/>
              <w:rPr>
                <w:sz w:val="1"/>
                <w:szCs w:val="1"/>
                <w:color w:val="auto"/>
              </w:rPr>
            </w:pPr>
          </w:p>
        </w:tc>
      </w:tr>
      <w:tr>
        <w:trPr>
          <w:trHeight w:val="117"/>
        </w:trPr>
        <w:tc>
          <w:tcPr>
            <w:tcW w:w="3560" w:type="dxa"/>
            <w:vAlign w:val="bottom"/>
            <w:vMerge w:val="restart"/>
          </w:tcPr>
          <w:p>
            <w:pPr>
              <w:jc w:val="center"/>
              <w:ind w:left="1545"/>
              <w:spacing w:after="0"/>
              <w:rPr>
                <w:sz w:val="20"/>
                <w:szCs w:val="20"/>
                <w:color w:val="auto"/>
              </w:rPr>
            </w:pPr>
            <w:r>
              <w:rPr>
                <w:rFonts w:ascii="Arial" w:cs="Arial" w:eastAsia="Arial" w:hAnsi="Arial"/>
                <w:sz w:val="16"/>
                <w:szCs w:val="16"/>
                <w:color w:val="auto"/>
              </w:rPr>
              <w:t>Risiko</w:t>
            </w:r>
          </w:p>
        </w:tc>
        <w:tc>
          <w:tcPr>
            <w:tcW w:w="1020" w:type="dxa"/>
            <w:vAlign w:val="bottom"/>
          </w:tcPr>
          <w:p>
            <w:pPr>
              <w:spacing w:after="0"/>
              <w:rPr>
                <w:sz w:val="10"/>
                <w:szCs w:val="10"/>
                <w:color w:val="auto"/>
              </w:rPr>
            </w:pPr>
          </w:p>
        </w:tc>
        <w:tc>
          <w:tcPr>
            <w:tcW w:w="37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96"/>
        </w:trPr>
        <w:tc>
          <w:tcPr>
            <w:tcW w:w="3560" w:type="dxa"/>
            <w:vAlign w:val="bottom"/>
            <w:vMerge w:val="continue"/>
          </w:tcPr>
          <w:p>
            <w:pPr>
              <w:spacing w:after="0"/>
              <w:rPr>
                <w:sz w:val="8"/>
                <w:szCs w:val="8"/>
                <w:color w:val="auto"/>
              </w:rPr>
            </w:pPr>
          </w:p>
        </w:tc>
        <w:tc>
          <w:tcPr>
            <w:tcW w:w="1020" w:type="dxa"/>
            <w:vAlign w:val="bottom"/>
          </w:tcPr>
          <w:p>
            <w:pPr>
              <w:spacing w:after="0"/>
              <w:rPr>
                <w:sz w:val="8"/>
                <w:szCs w:val="8"/>
                <w:color w:val="auto"/>
              </w:rPr>
            </w:pPr>
          </w:p>
        </w:tc>
        <w:tc>
          <w:tcPr>
            <w:tcW w:w="37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82"/>
        </w:trPr>
        <w:tc>
          <w:tcPr>
            <w:tcW w:w="3560" w:type="dxa"/>
            <w:vAlign w:val="bottom"/>
          </w:tcPr>
          <w:p>
            <w:pPr>
              <w:jc w:val="right"/>
              <w:ind w:right="1985"/>
              <w:spacing w:after="0"/>
              <w:rPr>
                <w:sz w:val="20"/>
                <w:szCs w:val="20"/>
                <w:color w:val="auto"/>
              </w:rPr>
            </w:pPr>
            <w:r>
              <w:rPr>
                <w:rFonts w:ascii="Arial" w:cs="Arial" w:eastAsia="Arial" w:hAnsi="Arial"/>
                <w:sz w:val="24"/>
                <w:szCs w:val="24"/>
                <w:color w:val="auto"/>
              </w:rPr>
              <w:t>(-)</w:t>
            </w:r>
          </w:p>
        </w:tc>
        <w:tc>
          <w:tcPr>
            <w:tcW w:w="1020" w:type="dxa"/>
            <w:vAlign w:val="bottom"/>
          </w:tcPr>
          <w:p>
            <w:pPr>
              <w:spacing w:after="0"/>
              <w:rPr>
                <w:sz w:val="24"/>
                <w:szCs w:val="24"/>
                <w:color w:val="auto"/>
              </w:rPr>
            </w:pPr>
          </w:p>
        </w:tc>
        <w:tc>
          <w:tcPr>
            <w:tcW w:w="3760" w:type="dxa"/>
            <w:vAlign w:val="bottom"/>
          </w:tcPr>
          <w:p>
            <w:pPr>
              <w:jc w:val="right"/>
              <w:ind w:right="1425"/>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322"/>
        </w:trPr>
        <w:tc>
          <w:tcPr>
            <w:tcW w:w="3560" w:type="dxa"/>
            <w:vAlign w:val="bottom"/>
            <w:vMerge w:val="restart"/>
          </w:tcPr>
          <w:p>
            <w:pPr>
              <w:jc w:val="right"/>
              <w:ind w:right="745"/>
              <w:spacing w:after="0"/>
              <w:rPr>
                <w:sz w:val="20"/>
                <w:szCs w:val="20"/>
                <w:color w:val="auto"/>
              </w:rPr>
            </w:pPr>
            <w:r>
              <w:rPr>
                <w:rFonts w:ascii="Arial" w:cs="Arial" w:eastAsia="Arial" w:hAnsi="Arial"/>
                <w:sz w:val="24"/>
                <w:szCs w:val="24"/>
                <w:color w:val="auto"/>
              </w:rPr>
              <w:t>(-)</w:t>
            </w:r>
          </w:p>
        </w:tc>
        <w:tc>
          <w:tcPr>
            <w:tcW w:w="1020" w:type="dxa"/>
            <w:vAlign w:val="bottom"/>
          </w:tcPr>
          <w:p>
            <w:pPr>
              <w:spacing w:after="0"/>
              <w:rPr>
                <w:sz w:val="24"/>
                <w:szCs w:val="24"/>
                <w:color w:val="auto"/>
              </w:rPr>
            </w:pPr>
          </w:p>
        </w:tc>
        <w:tc>
          <w:tcPr>
            <w:tcW w:w="3760" w:type="dxa"/>
            <w:vAlign w:val="bottom"/>
          </w:tcPr>
          <w:p>
            <w:pPr>
              <w:jc w:val="right"/>
              <w:ind w:right="2945"/>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82"/>
        </w:trPr>
        <w:tc>
          <w:tcPr>
            <w:tcW w:w="3560" w:type="dxa"/>
            <w:vAlign w:val="bottom"/>
            <w:vMerge w:val="continue"/>
          </w:tcPr>
          <w:p>
            <w:pPr>
              <w:spacing w:after="0"/>
              <w:rPr>
                <w:sz w:val="7"/>
                <w:szCs w:val="7"/>
                <w:color w:val="auto"/>
              </w:rPr>
            </w:pPr>
          </w:p>
        </w:tc>
        <w:tc>
          <w:tcPr>
            <w:tcW w:w="1020" w:type="dxa"/>
            <w:vAlign w:val="bottom"/>
            <w:vMerge w:val="restart"/>
          </w:tcPr>
          <w:p>
            <w:pPr>
              <w:jc w:val="right"/>
              <w:ind w:right="320"/>
              <w:spacing w:after="0"/>
              <w:rPr>
                <w:sz w:val="20"/>
                <w:szCs w:val="20"/>
                <w:color w:val="auto"/>
              </w:rPr>
            </w:pPr>
            <w:r>
              <w:rPr>
                <w:rFonts w:ascii="Arial" w:cs="Arial" w:eastAsia="Arial" w:hAnsi="Arial"/>
                <w:sz w:val="24"/>
                <w:szCs w:val="24"/>
                <w:color w:val="auto"/>
              </w:rPr>
              <w:t>(-)</w:t>
            </w:r>
          </w:p>
        </w:tc>
        <w:tc>
          <w:tcPr>
            <w:tcW w:w="37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2"/>
        </w:trPr>
        <w:tc>
          <w:tcPr>
            <w:tcW w:w="3560" w:type="dxa"/>
            <w:vAlign w:val="bottom"/>
            <w:vMerge w:val="restart"/>
          </w:tcPr>
          <w:p>
            <w:pPr>
              <w:jc w:val="right"/>
              <w:ind w:right="2785"/>
              <w:spacing w:after="0"/>
              <w:rPr>
                <w:sz w:val="20"/>
                <w:szCs w:val="20"/>
                <w:color w:val="auto"/>
              </w:rPr>
            </w:pPr>
            <w:r>
              <w:rPr>
                <w:rFonts w:ascii="Arial" w:cs="Arial" w:eastAsia="Arial" w:hAnsi="Arial"/>
                <w:sz w:val="16"/>
                <w:szCs w:val="16"/>
                <w:color w:val="auto"/>
                <w:w w:val="93"/>
              </w:rPr>
              <w:t>Vertrauen</w:t>
            </w:r>
          </w:p>
        </w:tc>
        <w:tc>
          <w:tcPr>
            <w:tcW w:w="1020" w:type="dxa"/>
            <w:vAlign w:val="bottom"/>
            <w:vMerge w:val="continue"/>
          </w:tcPr>
          <w:p>
            <w:pPr>
              <w:spacing w:after="0"/>
              <w:rPr>
                <w:sz w:val="24"/>
                <w:szCs w:val="24"/>
                <w:color w:val="auto"/>
              </w:rPr>
            </w:pPr>
          </w:p>
        </w:tc>
        <w:tc>
          <w:tcPr>
            <w:tcW w:w="3760" w:type="dxa"/>
            <w:vAlign w:val="bottom"/>
            <w:vMerge w:val="restart"/>
          </w:tcPr>
          <w:p>
            <w:pPr>
              <w:jc w:val="center"/>
              <w:ind w:left="2425"/>
              <w:spacing w:after="0"/>
              <w:rPr>
                <w:sz w:val="20"/>
                <w:szCs w:val="20"/>
                <w:color w:val="auto"/>
              </w:rPr>
            </w:pPr>
            <w:r>
              <w:rPr>
                <w:rFonts w:ascii="Arial" w:cs="Arial" w:eastAsia="Arial" w:hAnsi="Arial"/>
                <w:sz w:val="16"/>
                <w:szCs w:val="16"/>
                <w:color w:val="auto"/>
                <w:w w:val="98"/>
              </w:rPr>
              <w:t>Opposition gegen</w:t>
            </w:r>
          </w:p>
        </w:tc>
        <w:tc>
          <w:tcPr>
            <w:tcW w:w="0" w:type="dxa"/>
            <w:vAlign w:val="bottom"/>
          </w:tcPr>
          <w:p>
            <w:pPr>
              <w:spacing w:after="0"/>
              <w:rPr>
                <w:sz w:val="1"/>
                <w:szCs w:val="1"/>
                <w:color w:val="auto"/>
              </w:rPr>
            </w:pPr>
          </w:p>
        </w:tc>
      </w:tr>
      <w:tr>
        <w:trPr>
          <w:trHeight w:val="34"/>
        </w:trPr>
        <w:tc>
          <w:tcPr>
            <w:tcW w:w="3560" w:type="dxa"/>
            <w:vAlign w:val="bottom"/>
            <w:vMerge w:val="continue"/>
          </w:tcPr>
          <w:p>
            <w:pPr>
              <w:spacing w:after="0"/>
              <w:rPr>
                <w:sz w:val="2"/>
                <w:szCs w:val="2"/>
                <w:color w:val="auto"/>
              </w:rPr>
            </w:pPr>
          </w:p>
        </w:tc>
        <w:tc>
          <w:tcPr>
            <w:tcW w:w="1020" w:type="dxa"/>
            <w:vAlign w:val="bottom"/>
          </w:tcPr>
          <w:p>
            <w:pPr>
              <w:spacing w:after="0"/>
              <w:rPr>
                <w:sz w:val="2"/>
                <w:szCs w:val="2"/>
                <w:color w:val="auto"/>
              </w:rPr>
            </w:pPr>
          </w:p>
        </w:tc>
        <w:tc>
          <w:tcPr>
            <w:tcW w:w="37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8"/>
        </w:trPr>
        <w:tc>
          <w:tcPr>
            <w:tcW w:w="3560" w:type="dxa"/>
            <w:vAlign w:val="bottom"/>
            <w:vMerge w:val="continue"/>
          </w:tcPr>
          <w:p>
            <w:pPr>
              <w:spacing w:after="0"/>
              <w:rPr>
                <w:sz w:val="10"/>
                <w:szCs w:val="10"/>
                <w:color w:val="auto"/>
              </w:rPr>
            </w:pPr>
          </w:p>
        </w:tc>
        <w:tc>
          <w:tcPr>
            <w:tcW w:w="1020" w:type="dxa"/>
            <w:vAlign w:val="bottom"/>
          </w:tcPr>
          <w:p>
            <w:pPr>
              <w:spacing w:after="0"/>
              <w:rPr>
                <w:sz w:val="10"/>
                <w:szCs w:val="10"/>
                <w:color w:val="auto"/>
              </w:rPr>
            </w:pPr>
          </w:p>
        </w:tc>
        <w:tc>
          <w:tcPr>
            <w:tcW w:w="3760" w:type="dxa"/>
            <w:vAlign w:val="bottom"/>
            <w:vMerge w:val="restart"/>
          </w:tcPr>
          <w:p>
            <w:pPr>
              <w:jc w:val="center"/>
              <w:ind w:left="2405"/>
              <w:spacing w:after="0"/>
              <w:rPr>
                <w:sz w:val="20"/>
                <w:szCs w:val="20"/>
                <w:color w:val="auto"/>
              </w:rPr>
            </w:pPr>
            <w:r>
              <w:rPr>
                <w:rFonts w:ascii="Arial" w:cs="Arial" w:eastAsia="Arial" w:hAnsi="Arial"/>
                <w:sz w:val="16"/>
                <w:szCs w:val="16"/>
                <w:color w:val="auto"/>
                <w:w w:val="96"/>
              </w:rPr>
              <w:t>Endlager</w:t>
            </w:r>
          </w:p>
        </w:tc>
        <w:tc>
          <w:tcPr>
            <w:tcW w:w="0" w:type="dxa"/>
            <w:vAlign w:val="bottom"/>
          </w:tcPr>
          <w:p>
            <w:pPr>
              <w:spacing w:after="0"/>
              <w:rPr>
                <w:sz w:val="1"/>
                <w:szCs w:val="1"/>
                <w:color w:val="auto"/>
              </w:rPr>
            </w:pPr>
          </w:p>
        </w:tc>
      </w:tr>
      <w:tr>
        <w:trPr>
          <w:trHeight w:val="95"/>
        </w:trPr>
        <w:tc>
          <w:tcPr>
            <w:tcW w:w="3560" w:type="dxa"/>
            <w:vAlign w:val="bottom"/>
          </w:tcPr>
          <w:p>
            <w:pPr>
              <w:spacing w:after="0"/>
              <w:rPr>
                <w:sz w:val="8"/>
                <w:szCs w:val="8"/>
                <w:color w:val="auto"/>
              </w:rPr>
            </w:pPr>
          </w:p>
        </w:tc>
        <w:tc>
          <w:tcPr>
            <w:tcW w:w="1020" w:type="dxa"/>
            <w:vAlign w:val="bottom"/>
          </w:tcPr>
          <w:p>
            <w:pPr>
              <w:spacing w:after="0"/>
              <w:rPr>
                <w:sz w:val="8"/>
                <w:szCs w:val="8"/>
                <w:color w:val="auto"/>
              </w:rPr>
            </w:pPr>
          </w:p>
        </w:tc>
        <w:tc>
          <w:tcPr>
            <w:tcW w:w="37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79" w:lineRule="exact"/>
        <w:rPr>
          <w:sz w:val="20"/>
          <w:szCs w:val="20"/>
          <w:color w:val="auto"/>
        </w:rPr>
      </w:pPr>
    </w:p>
    <w:p>
      <w:pPr>
        <w:jc w:val="center"/>
        <w:ind w:right="-339"/>
        <w:spacing w:after="0"/>
        <w:rPr>
          <w:sz w:val="20"/>
          <w:szCs w:val="20"/>
          <w:color w:val="auto"/>
        </w:rPr>
      </w:pPr>
      <w:r>
        <w:rPr>
          <w:rFonts w:ascii="Arial" w:cs="Arial" w:eastAsia="Arial" w:hAnsi="Arial"/>
          <w:sz w:val="24"/>
          <w:szCs w:val="24"/>
          <w:color w:val="auto"/>
        </w:rPr>
        <w:t>(-)</w:t>
      </w:r>
    </w:p>
    <w:p>
      <w:pPr>
        <w:spacing w:after="0" w:line="142" w:lineRule="exact"/>
        <w:rPr>
          <w:sz w:val="20"/>
          <w:szCs w:val="20"/>
          <w:color w:val="auto"/>
        </w:rPr>
      </w:pPr>
    </w:p>
    <w:p>
      <w:pPr>
        <w:jc w:val="center"/>
        <w:ind w:right="7000"/>
        <w:spacing w:after="0"/>
        <w:rPr>
          <w:sz w:val="20"/>
          <w:szCs w:val="20"/>
          <w:color w:val="auto"/>
        </w:rPr>
      </w:pPr>
      <w:r>
        <w:rPr>
          <w:rFonts w:ascii="Arial" w:cs="Arial" w:eastAsia="Arial" w:hAnsi="Arial"/>
          <w:sz w:val="16"/>
          <w:szCs w:val="16"/>
          <w:color w:val="auto"/>
        </w:rPr>
        <w:t>ökonomische</w:t>
      </w:r>
    </w:p>
    <w:p>
      <w:pPr>
        <w:spacing w:after="0" w:line="27" w:lineRule="exact"/>
        <w:rPr>
          <w:sz w:val="20"/>
          <w:szCs w:val="20"/>
          <w:color w:val="auto"/>
        </w:rPr>
      </w:pPr>
    </w:p>
    <w:p>
      <w:pPr>
        <w:jc w:val="center"/>
        <w:ind w:right="7000"/>
        <w:spacing w:after="0"/>
        <w:rPr>
          <w:sz w:val="20"/>
          <w:szCs w:val="20"/>
          <w:color w:val="auto"/>
        </w:rPr>
      </w:pPr>
      <w:r>
        <w:rPr>
          <w:rFonts w:ascii="Arial" w:cs="Arial" w:eastAsia="Arial" w:hAnsi="Arial"/>
          <w:sz w:val="16"/>
          <w:szCs w:val="16"/>
          <w:color w:val="auto"/>
        </w:rPr>
        <w:t>Vorteile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380" w:firstLine="283"/>
        <w:spacing w:after="0" w:line="358" w:lineRule="auto"/>
        <w:rPr>
          <w:sz w:val="20"/>
          <w:szCs w:val="20"/>
          <w:color w:val="auto"/>
        </w:rPr>
      </w:pPr>
      <w:r>
        <w:rPr>
          <w:rFonts w:ascii="Times New Roman" w:cs="Times New Roman" w:eastAsia="Times New Roman" w:hAnsi="Times New Roman"/>
          <w:sz w:val="24"/>
          <w:szCs w:val="24"/>
          <w:color w:val="auto"/>
        </w:rPr>
        <w:t>Wie dem Modell in Abbildung 3 zu entnehmen ist, gehen Flynn et al. davon aus, dass ökono-mische Vorteile, Vertrauen</w:t>
      </w:r>
      <w:r>
        <w:rPr>
          <w:rFonts w:ascii="Times New Roman" w:cs="Times New Roman" w:eastAsia="Times New Roman" w:hAnsi="Times New Roman"/>
          <w:sz w:val="28"/>
          <w:szCs w:val="28"/>
          <w:color w:val="auto"/>
          <w:vertAlign w:val="superscript"/>
        </w:rPr>
        <w:t>19)</w:t>
      </w:r>
      <w:r>
        <w:rPr>
          <w:rFonts w:ascii="Times New Roman" w:cs="Times New Roman" w:eastAsia="Times New Roman" w:hAnsi="Times New Roman"/>
          <w:sz w:val="24"/>
          <w:szCs w:val="24"/>
          <w:color w:val="auto"/>
        </w:rPr>
        <w:t>, das wahrgenommene Risiko sowie Stigma</w:t>
      </w:r>
      <w:r>
        <w:rPr>
          <w:rFonts w:ascii="Times New Roman" w:cs="Times New Roman" w:eastAsia="Times New Roman" w:hAnsi="Times New Roman"/>
          <w:sz w:val="28"/>
          <w:szCs w:val="28"/>
          <w:color w:val="auto"/>
          <w:vertAlign w:val="superscript"/>
        </w:rPr>
        <w:t>20)</w:t>
      </w:r>
      <w:r>
        <w:rPr>
          <w:rFonts w:ascii="Times New Roman" w:cs="Times New Roman" w:eastAsia="Times New Roman" w:hAnsi="Times New Roman"/>
          <w:sz w:val="24"/>
          <w:szCs w:val="24"/>
          <w:color w:val="auto"/>
        </w:rPr>
        <w:t xml:space="preserve"> einen direkten Einfluss auf den Grad der Ablehnung des Endlagers haben. Zudem wird angenommen, dass Vertrauen zusätzlich einen indirekten Einfluss über das wahrgenommene Risiko und Stigma hat sowie dass das wahrgenommene Risiko zusätzlich indirekt über Stigma auf den Grad der Ablehnung wirkt.</w:t>
      </w:r>
    </w:p>
    <w:p>
      <w:pPr>
        <w:spacing w:after="0" w:line="57" w:lineRule="exact"/>
        <w:rPr>
          <w:sz w:val="20"/>
          <w:szCs w:val="20"/>
          <w:color w:val="auto"/>
        </w:rPr>
      </w:pPr>
    </w:p>
    <w:p>
      <w:pPr>
        <w:jc w:val="both"/>
        <w:ind w:left="440" w:firstLine="283"/>
        <w:spacing w:after="0" w:line="390" w:lineRule="auto"/>
        <w:rPr>
          <w:sz w:val="20"/>
          <w:szCs w:val="20"/>
          <w:color w:val="auto"/>
        </w:rPr>
      </w:pPr>
      <w:r>
        <w:rPr>
          <w:rFonts w:ascii="Times New Roman" w:cs="Times New Roman" w:eastAsia="Times New Roman" w:hAnsi="Times New Roman"/>
          <w:sz w:val="23"/>
          <w:szCs w:val="23"/>
          <w:color w:val="auto"/>
        </w:rPr>
        <w:t>Befragt wurden im Jahre 1989 insgesamt 677 EinwohnerInnen von Nevada. In die Analyse gingen aufgrund fehlender Werte jedoch nur die Daten von 500 Interviews ein. Die Schätzung des Modells resultierte in einem guten Modell-Fit, allerdings bestätigten sich die angenomme-nen Beziehungen nur zum Teil, da lediglich vier der acht spezifizierten Beziehungen statistisch signifikant waren. Im einzelnen ist festzustellen, dass zwischen Vorteilen und Vertrauen eine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225425</wp:posOffset>
                </wp:positionV>
                <wp:extent cx="182753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7.75pt" to="165.4pt,17.75pt" o:allowincell="f" strokecolor="#000000" strokeweight="0.96pt"/>
            </w:pict>
          </mc:Fallback>
        </mc:AlternateContent>
      </w:r>
    </w:p>
    <w:p>
      <w:pPr>
        <w:spacing w:after="0" w:line="200" w:lineRule="exact"/>
        <w:rPr>
          <w:sz w:val="20"/>
          <w:szCs w:val="20"/>
          <w:color w:val="auto"/>
        </w:rPr>
      </w:pPr>
    </w:p>
    <w:p>
      <w:pPr>
        <w:spacing w:after="0" w:line="363" w:lineRule="exact"/>
        <w:rPr>
          <w:sz w:val="20"/>
          <w:szCs w:val="20"/>
          <w:color w:val="auto"/>
        </w:rPr>
      </w:pPr>
    </w:p>
    <w:p>
      <w:pPr>
        <w:ind w:left="880" w:hanging="449"/>
        <w:spacing w:after="0"/>
        <w:tabs>
          <w:tab w:leader="none" w:pos="88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Für die Einzelheiten bezüglich der Messindikatoren vgl. Flynn et al. (1992: 419ff).</w:t>
      </w:r>
    </w:p>
    <w:p>
      <w:pPr>
        <w:spacing w:after="0" w:line="244" w:lineRule="exact"/>
        <w:rPr>
          <w:rFonts w:ascii="Times New Roman" w:cs="Times New Roman" w:eastAsia="Times New Roman" w:hAnsi="Times New Roman"/>
          <w:sz w:val="20"/>
          <w:szCs w:val="20"/>
          <w:color w:val="auto"/>
        </w:rPr>
      </w:pPr>
    </w:p>
    <w:p>
      <w:pPr>
        <w:jc w:val="both"/>
        <w:ind w:left="880" w:hanging="449"/>
        <w:spacing w:after="0" w:line="260" w:lineRule="auto"/>
        <w:tabs>
          <w:tab w:leader="none" w:pos="88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Gemessen mit drei Indikatoren: Vertrauen, dass das Energieministerium objektive wissenschaftliche Studien durchführt; dass das Energieministerium ein Programm im Falle von Schwierigkeiten stoppen wird; Vertrauen in das Energieministerium als Managementeinheit.</w:t>
      </w:r>
    </w:p>
    <w:p>
      <w:pPr>
        <w:spacing w:after="0" w:line="194" w:lineRule="exact"/>
        <w:rPr>
          <w:rFonts w:ascii="Times New Roman" w:cs="Times New Roman" w:eastAsia="Times New Roman" w:hAnsi="Times New Roman"/>
          <w:sz w:val="20"/>
          <w:szCs w:val="20"/>
          <w:color w:val="auto"/>
        </w:rPr>
      </w:pPr>
    </w:p>
    <w:p>
      <w:pPr>
        <w:ind w:left="880" w:right="20" w:hanging="449"/>
        <w:spacing w:after="0" w:line="276" w:lineRule="auto"/>
        <w:tabs>
          <w:tab w:leader="none" w:pos="88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Gemessen mit zwei Indikatoren, die sich darauf beziehen, dass Nevada das Label 'Atommüllplatz' be-kommt und sich ein Endlager negativ auf den Tourismus auswirkt.</w:t>
      </w:r>
    </w:p>
    <w:p>
      <w:pPr>
        <w:sectPr>
          <w:pgSz w:w="11900" w:h="16840" w:orient="portrait"/>
          <w:cols w:equalWidth="0" w:num="1">
            <w:col w:w="9340"/>
          </w:cols>
          <w:pgMar w:left="1440" w:top="835" w:right="1120" w:bottom="523" w:gutter="0" w:footer="0" w:header="0"/>
        </w:sectPr>
      </w:pPr>
    </w:p>
    <w:bookmarkStart w:id="17" w:name="page18"/>
    <w:bookmarkEnd w:id="17"/>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16</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86" w:lineRule="auto"/>
        <w:rPr>
          <w:sz w:val="20"/>
          <w:szCs w:val="20"/>
          <w:color w:val="auto"/>
        </w:rPr>
      </w:pPr>
      <w:r>
        <w:rPr>
          <w:rFonts w:ascii="Times New Roman" w:cs="Times New Roman" w:eastAsia="Times New Roman" w:hAnsi="Times New Roman"/>
          <w:sz w:val="23"/>
          <w:szCs w:val="23"/>
          <w:color w:val="auto"/>
        </w:rPr>
        <w:t>signifikante positive Beziehungen (r=0.50) besteht. Weder Vertrauen noch die Vorteile üben einen direkten Effekt auf den Grad der Opposition aus. Vertrauen hat allerdings einen sehr starken negativen Effekt auf das wahrgenommene Risiko (-0.82), d.h. je höher das Vertrauen in das Energieministerium, desto geringer ist das wahrgenommene Risiko. Vom wahrgenom-menen Risiko gehen zwei signifikante Effekte aus. Zum einem steigt mit dem Risiko direkt der Grad der Ablehnung (0.68), zum anderen determiniert Risiko sehr stark das Stigma (0.98). Stigma wiederum hat einen signifikanten Effekt auf den Grad der Ablehnung (0.38): mit zunehmender wahrgenommener Stigmatisierung steigt der Grad der Ablehnung des Endlagers.</w:t>
      </w:r>
    </w:p>
    <w:p>
      <w:pPr>
        <w:spacing w:after="0" w:line="278"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6"/>
          <w:szCs w:val="26"/>
          <w:b w:val="1"/>
          <w:bCs w:val="1"/>
          <w:color w:val="auto"/>
        </w:rPr>
        <w:t>5 Resümee</w:t>
      </w:r>
    </w:p>
    <w:p>
      <w:pPr>
        <w:spacing w:after="0" w:line="229" w:lineRule="exact"/>
        <w:rPr>
          <w:sz w:val="20"/>
          <w:szCs w:val="20"/>
          <w:color w:val="auto"/>
        </w:rPr>
      </w:pPr>
    </w:p>
    <w:p>
      <w:pPr>
        <w:jc w:val="both"/>
        <w:ind w:left="440"/>
        <w:spacing w:after="0" w:line="368" w:lineRule="auto"/>
        <w:rPr>
          <w:sz w:val="20"/>
          <w:szCs w:val="20"/>
          <w:color w:val="auto"/>
        </w:rPr>
      </w:pPr>
      <w:r>
        <w:rPr>
          <w:rFonts w:ascii="Times New Roman" w:cs="Times New Roman" w:eastAsia="Times New Roman" w:hAnsi="Times New Roman"/>
          <w:sz w:val="24"/>
          <w:szCs w:val="24"/>
          <w:color w:val="auto"/>
        </w:rPr>
        <w:t>Die referierten Studien zur Dimensionalität bzw. zu den Determinanten des Konstruktes Ver-trauen weisen insgesamt recht eindeutig auf die Bedeutung der wahrgenommenen Kompetenz und Ehrlichkeit der Informationsquelle für die Zuschreibung von Vertrauen hin. Als dritte empirisch bedeutsame Dimension/Determinante des Vertrauens kann, den Studien von Peters et al. und Frewer et al. folgend, die Sorge der Informationsquelle um das öffentliche Wohl eines Gemeinwesens genannt werden. Weiterhin deutet sich in der Studie von Frewer et al. an, dass Ehrlichkeit und Sorge alleine nicht ausreichend für die Entstehung von Vertrauen sind, sondern dass Kompetenz dafür eine notwendige Voraussetzung ist.</w:t>
      </w:r>
    </w:p>
    <w:p>
      <w:pPr>
        <w:spacing w:after="0" w:line="48" w:lineRule="exact"/>
        <w:rPr>
          <w:sz w:val="20"/>
          <w:szCs w:val="20"/>
          <w:color w:val="auto"/>
        </w:rPr>
      </w:pPr>
    </w:p>
    <w:p>
      <w:pPr>
        <w:jc w:val="both"/>
        <w:ind w:left="440" w:firstLine="283"/>
        <w:spacing w:after="0" w:line="381" w:lineRule="auto"/>
        <w:rPr>
          <w:sz w:val="20"/>
          <w:szCs w:val="20"/>
          <w:color w:val="auto"/>
        </w:rPr>
      </w:pPr>
      <w:r>
        <w:rPr>
          <w:rFonts w:ascii="Times New Roman" w:cs="Times New Roman" w:eastAsia="Times New Roman" w:hAnsi="Times New Roman"/>
          <w:sz w:val="23"/>
          <w:szCs w:val="23"/>
          <w:color w:val="auto"/>
        </w:rPr>
        <w:t>Wenn wir diese Befunde in einem Modell der Einstellungsbildung als systematischen Prozess 2. Ordnung interpretieren, in dem angenommen wird, dass die Position einer Informa-tionsquelle nur dann auf das Einstellungs-/Akzeptanzurteil einen Einfluss hat, wenn der Infor-mationsquelle die Eigenschaften Relevanz, Kompetenz und Vertrauen zugeschrieben werden, so legen die Befunde die Überlegung nahe, in der Vertrauensforschung auf die Eigenschaften Relevanz und Kompetenz als gesonderte Eigenschaften zu verzichten, da sie integrale bzw. konstituierende Merkmale von Vertrauen darstellen.</w:t>
      </w:r>
      <w:r>
        <w:rPr>
          <w:rFonts w:ascii="Times New Roman" w:cs="Times New Roman" w:eastAsia="Times New Roman" w:hAnsi="Times New Roman"/>
          <w:sz w:val="27"/>
          <w:szCs w:val="27"/>
          <w:color w:val="auto"/>
          <w:vertAlign w:val="superscript"/>
        </w:rPr>
        <w:t>21)</w:t>
      </w:r>
    </w:p>
    <w:p>
      <w:pPr>
        <w:spacing w:after="0" w:line="2" w:lineRule="exact"/>
        <w:rPr>
          <w:sz w:val="20"/>
          <w:szCs w:val="20"/>
          <w:color w:val="auto"/>
        </w:rPr>
      </w:pPr>
    </w:p>
    <w:p>
      <w:pPr>
        <w:jc w:val="both"/>
        <w:ind w:left="440" w:firstLine="283"/>
        <w:spacing w:after="0" w:line="390" w:lineRule="auto"/>
        <w:rPr>
          <w:sz w:val="20"/>
          <w:szCs w:val="20"/>
          <w:color w:val="auto"/>
        </w:rPr>
      </w:pPr>
      <w:r>
        <w:rPr>
          <w:rFonts w:ascii="Times New Roman" w:cs="Times New Roman" w:eastAsia="Times New Roman" w:hAnsi="Times New Roman"/>
          <w:sz w:val="23"/>
          <w:szCs w:val="23"/>
          <w:color w:val="auto"/>
        </w:rPr>
        <w:t>Die angeführten Studien zur Bedeutung von Vertrauen für das Akzeptanzurteil bestätigen die theoretischen Überlegungen, dass Vertrauen in Organisationen und Institutionen von zentraler Bedeutung für die Akzeptanz von Aktivitäten sein kann. Nicht eindeutig lässt sich auf Basis der dargestellten Befunde jedoch die Frage beantworten, ob die Bedeutung von Vertrauen indirekt über die beliefs der Individuen vermittelt ist, wie dies etwa die Ergebnisse von Flynn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273050</wp:posOffset>
                </wp:positionH>
                <wp:positionV relativeFrom="paragraph">
                  <wp:posOffset>157480</wp:posOffset>
                </wp:positionV>
                <wp:extent cx="182753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753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pt,12.4pt" to="165.4pt,12.4pt" o:allowincell="f" strokecolor="#000000" strokeweight="0.9599pt"/>
            </w:pict>
          </mc:Fallback>
        </mc:AlternateContent>
      </w:r>
    </w:p>
    <w:p>
      <w:pPr>
        <w:sectPr>
          <w:pgSz w:w="11900" w:h="16840" w:orient="portrait"/>
          <w:cols w:equalWidth="0" w:num="1">
            <w:col w:w="9340"/>
          </w:cols>
          <w:pgMar w:left="1440" w:top="835" w:right="1120" w:bottom="539" w:gutter="0" w:footer="0" w:header="0"/>
        </w:sectPr>
      </w:pPr>
    </w:p>
    <w:p>
      <w:pPr>
        <w:spacing w:after="0" w:line="200" w:lineRule="exact"/>
        <w:rPr>
          <w:sz w:val="20"/>
          <w:szCs w:val="20"/>
          <w:color w:val="auto"/>
        </w:rPr>
      </w:pPr>
    </w:p>
    <w:p>
      <w:pPr>
        <w:spacing w:after="0" w:line="276" w:lineRule="exact"/>
        <w:rPr>
          <w:sz w:val="20"/>
          <w:szCs w:val="20"/>
          <w:color w:val="auto"/>
        </w:rPr>
      </w:pPr>
    </w:p>
    <w:p>
      <w:pPr>
        <w:jc w:val="both"/>
        <w:ind w:left="880" w:hanging="449"/>
        <w:spacing w:after="0" w:line="260" w:lineRule="auto"/>
        <w:tabs>
          <w:tab w:leader="none" w:pos="88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Wichtig wäre es dann aber sicherzustellen, dass in der empirischen Forschung nicht allgemeines Ver-trauen in Informationsquellen sondern das Vertrauen hinsichtlich eines spezifischen Sachverhaltes erfasst wird.</w:t>
      </w:r>
    </w:p>
    <w:p>
      <w:pPr>
        <w:sectPr>
          <w:pgSz w:w="11900" w:h="16840" w:orient="portrait"/>
          <w:cols w:equalWidth="0" w:num="1">
            <w:col w:w="9340"/>
          </w:cols>
          <w:pgMar w:left="1440" w:top="835" w:right="1120" w:bottom="539" w:gutter="0" w:footer="0" w:header="0"/>
          <w:type w:val="continuous"/>
        </w:sectPr>
      </w:pPr>
    </w:p>
    <w:bookmarkStart w:id="18" w:name="page19"/>
    <w:bookmarkEnd w:id="18"/>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17</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10" w:lineRule="exact"/>
        <w:rPr>
          <w:sz w:val="20"/>
          <w:szCs w:val="20"/>
          <w:color w:val="auto"/>
        </w:rPr>
      </w:pPr>
    </w:p>
    <w:p>
      <w:pPr>
        <w:jc w:val="both"/>
        <w:ind w:left="440"/>
        <w:spacing w:after="0" w:line="395" w:lineRule="auto"/>
        <w:rPr>
          <w:sz w:val="20"/>
          <w:szCs w:val="20"/>
          <w:color w:val="auto"/>
        </w:rPr>
      </w:pPr>
      <w:r>
        <w:rPr>
          <w:rFonts w:ascii="Times New Roman" w:cs="Times New Roman" w:eastAsia="Times New Roman" w:hAnsi="Times New Roman"/>
          <w:sz w:val="24"/>
          <w:szCs w:val="24"/>
          <w:color w:val="auto"/>
        </w:rPr>
        <w:t>et al. nahelegen, oder ob Vertrauen auch einen direkten unabhängigen Einfluss auf das Akzep-tanzurteil von Individuen hat, wie dies etwa bei Kunreuther et al. der Fall ist.</w:t>
      </w:r>
    </w:p>
    <w:p>
      <w:pPr>
        <w:spacing w:after="0" w:line="12" w:lineRule="exact"/>
        <w:rPr>
          <w:sz w:val="20"/>
          <w:szCs w:val="20"/>
          <w:color w:val="auto"/>
        </w:rPr>
      </w:pPr>
    </w:p>
    <w:p>
      <w:pPr>
        <w:jc w:val="both"/>
        <w:ind w:left="440" w:firstLine="283"/>
        <w:spacing w:after="0" w:line="388" w:lineRule="auto"/>
        <w:rPr>
          <w:sz w:val="20"/>
          <w:szCs w:val="20"/>
          <w:color w:val="auto"/>
        </w:rPr>
      </w:pPr>
      <w:r>
        <w:rPr>
          <w:rFonts w:ascii="Times New Roman" w:cs="Times New Roman" w:eastAsia="Times New Roman" w:hAnsi="Times New Roman"/>
          <w:sz w:val="23"/>
          <w:szCs w:val="23"/>
          <w:color w:val="auto"/>
        </w:rPr>
        <w:t>Insgesamt betrachtet erscheint es als lohnenswert, die Relevanz von Institutionenvertrauen im Kontext von als riskant wahrgenommenen (komplexen) Urteilssituationen zu untersuchen. Wie in den theoretischen Ausführungen gezeigt wurde, kann Vertrauen auf verschiedene Weisen für die Urteilsbildung Bedeutung erlangen: a) als einfacher peripherer cue, b) als Input in systematische Prozesse 2. Ordnung, oder aber c) lediglich indirekt über die endogenen Variablen eines systematischen Prozesses der Urteilsbildung.</w:t>
      </w:r>
    </w:p>
    <w:p>
      <w:pPr>
        <w:spacing w:after="0" w:line="30" w:lineRule="exact"/>
        <w:rPr>
          <w:sz w:val="20"/>
          <w:szCs w:val="20"/>
          <w:color w:val="auto"/>
        </w:rPr>
      </w:pPr>
    </w:p>
    <w:p>
      <w:pPr>
        <w:jc w:val="both"/>
        <w:ind w:left="440" w:firstLine="283"/>
        <w:spacing w:after="0" w:line="367" w:lineRule="auto"/>
        <w:rPr>
          <w:sz w:val="20"/>
          <w:szCs w:val="20"/>
          <w:color w:val="auto"/>
        </w:rPr>
      </w:pPr>
      <w:r>
        <w:rPr>
          <w:rFonts w:ascii="Times New Roman" w:cs="Times New Roman" w:eastAsia="Times New Roman" w:hAnsi="Times New Roman"/>
          <w:sz w:val="24"/>
          <w:szCs w:val="24"/>
          <w:color w:val="auto"/>
        </w:rPr>
        <w:t>In Anlehnung an die Prozessmodelle der Einstellungsbildung wurde hier argumentiert, dass bei Vorhandensein hoher Motivation und Fähigkeit das Vertrauen in Organisationen, Institutio-nen und andere Personen, wenn überhaupt, lediglich indirekt über die beliefs einen Einfluss auf die Urteilsbildung nehmen wird. Bei mangelnder Motivation kann Vertrauen hingegen als einfacher peripherer cue fungieren und zur unreflektierten Adaption bzw. Ablehnung der Positionen einer externen Quelle führen. Als besonders interessant ist die Situation hohe Motivation aber geringe Fähigkeit anzusehen. Hier kann die Urteilsbildung als systematischer Prozess 2. Ordnung angesehen werden. Informationen über die Positionen externer Quellen dienen dann als Input für eine systematische Verarbeitung, wobei das Vertrauen in die externe Informationsquelle, deren thematische Relevanz sowie Kompetenz als die entscheidenden Gewichtungsfaktoren der Urteilsbildung anzusehen sind.</w:t>
      </w:r>
    </w:p>
    <w:p>
      <w:pPr>
        <w:sectPr>
          <w:pgSz w:w="11900" w:h="16840" w:orient="portrait"/>
          <w:cols w:equalWidth="0" w:num="1">
            <w:col w:w="9340"/>
          </w:cols>
          <w:pgMar w:left="1440" w:top="835" w:right="1120" w:bottom="1440" w:gutter="0" w:footer="0" w:header="0"/>
        </w:sectPr>
      </w:pPr>
    </w:p>
    <w:bookmarkStart w:id="19" w:name="page20"/>
    <w:bookmarkEnd w:id="19"/>
    <w:tbl>
      <w:tblPr>
        <w:tblLayout w:type="fixed"/>
        <w:tblInd w:w="440" w:type="dxa"/>
        <w:tblCellMar>
          <w:top w:w="0" w:type="dxa"/>
          <w:left w:w="0" w:type="dxa"/>
          <w:bottom w:w="0" w:type="dxa"/>
          <w:right w:w="0" w:type="dxa"/>
        </w:tblCellMar>
      </w:tblPr>
      <w:tr>
        <w:trPr>
          <w:trHeight w:val="286"/>
        </w:trPr>
        <w:tc>
          <w:tcPr>
            <w:tcW w:w="7540" w:type="dxa"/>
            <w:vAlign w:val="bottom"/>
          </w:tcPr>
          <w:p>
            <w:pPr>
              <w:spacing w:after="0"/>
              <w:rPr>
                <w:sz w:val="20"/>
                <w:szCs w:val="20"/>
                <w:color w:val="auto"/>
              </w:rPr>
            </w:pPr>
            <w:r>
              <w:rPr>
                <w:rFonts w:ascii="Times New Roman" w:cs="Times New Roman" w:eastAsia="Times New Roman" w:hAnsi="Times New Roman"/>
                <w:sz w:val="22"/>
                <w:szCs w:val="22"/>
                <w:color w:val="auto"/>
              </w:rPr>
              <w:t>Schriftenreihe des Instituts für Sozialwissenschaften (SISS No. 2 / 2002)</w:t>
            </w:r>
          </w:p>
        </w:tc>
        <w:tc>
          <w:tcPr>
            <w:tcW w:w="136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18</w:t>
            </w:r>
          </w:p>
        </w:tc>
      </w:tr>
      <w:tr>
        <w:trPr>
          <w:trHeight w:val="58"/>
        </w:trPr>
        <w:tc>
          <w:tcPr>
            <w:tcW w:w="75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r>
    </w:tbl>
    <w:p>
      <w:pPr>
        <w:spacing w:after="0" w:line="200" w:lineRule="exact"/>
        <w:rPr>
          <w:sz w:val="20"/>
          <w:szCs w:val="20"/>
          <w:color w:val="auto"/>
        </w:rPr>
      </w:pPr>
    </w:p>
    <w:p>
      <w:pPr>
        <w:spacing w:after="0" w:line="307" w:lineRule="exact"/>
        <w:rPr>
          <w:sz w:val="20"/>
          <w:szCs w:val="20"/>
          <w:color w:val="auto"/>
        </w:rPr>
      </w:pPr>
    </w:p>
    <w:p>
      <w:pPr>
        <w:ind w:left="440"/>
        <w:spacing w:after="0"/>
        <w:tabs>
          <w:tab w:leader="none" w:pos="820" w:val="left"/>
        </w:tabs>
        <w:rPr>
          <w:sz w:val="20"/>
          <w:szCs w:val="20"/>
          <w:color w:val="auto"/>
        </w:rPr>
      </w:pPr>
      <w:r>
        <w:rPr>
          <w:rFonts w:ascii="Times New Roman" w:cs="Times New Roman" w:eastAsia="Times New Roman" w:hAnsi="Times New Roman"/>
          <w:sz w:val="26"/>
          <w:szCs w:val="26"/>
          <w:b w:val="1"/>
          <w:bCs w:val="1"/>
          <w:color w:val="auto"/>
        </w:rPr>
        <w:t>7</w:t>
        <w:tab/>
        <w:t>Literatur</w:t>
      </w:r>
    </w:p>
    <w:p>
      <w:pPr>
        <w:spacing w:after="0" w:line="236" w:lineRule="exact"/>
        <w:rPr>
          <w:sz w:val="20"/>
          <w:szCs w:val="20"/>
          <w:color w:val="auto"/>
        </w:rPr>
      </w:pPr>
    </w:p>
    <w:p>
      <w:pPr>
        <w:jc w:val="both"/>
        <w:ind w:left="440"/>
        <w:spacing w:after="0" w:line="253" w:lineRule="auto"/>
        <w:rPr>
          <w:sz w:val="20"/>
          <w:szCs w:val="20"/>
          <w:color w:val="auto"/>
        </w:rPr>
      </w:pPr>
      <w:r>
        <w:rPr>
          <w:rFonts w:ascii="Times New Roman" w:cs="Times New Roman" w:eastAsia="Times New Roman" w:hAnsi="Times New Roman"/>
          <w:sz w:val="24"/>
          <w:szCs w:val="24"/>
          <w:color w:val="auto"/>
        </w:rPr>
        <w:t>Borcherding, K./Rohrmann, B./Eppel, T. (1986): A Psychological Study on the Cognitive Structure of Risk Evaluation. In: Brehmer, Berndt/Jungermann, Helmut/Lourens, Peter/Sevón, Guje (Hg.), New Directions in Research on Decision Making. Amsterdam u.a (Elsevier Science Publishers B.V.), S. 245-262.</w:t>
      </w:r>
    </w:p>
    <w:p>
      <w:pPr>
        <w:spacing w:after="0" w:line="121" w:lineRule="exact"/>
        <w:rPr>
          <w:sz w:val="20"/>
          <w:szCs w:val="20"/>
          <w:color w:val="auto"/>
        </w:rPr>
      </w:pPr>
    </w:p>
    <w:p>
      <w:pPr>
        <w:jc w:val="both"/>
        <w:ind w:left="440"/>
        <w:spacing w:after="0" w:line="258" w:lineRule="auto"/>
        <w:rPr>
          <w:sz w:val="20"/>
          <w:szCs w:val="20"/>
          <w:color w:val="auto"/>
        </w:rPr>
      </w:pPr>
      <w:r>
        <w:rPr>
          <w:rFonts w:ascii="Times New Roman" w:cs="Times New Roman" w:eastAsia="Times New Roman" w:hAnsi="Times New Roman"/>
          <w:sz w:val="24"/>
          <w:szCs w:val="24"/>
          <w:color w:val="auto"/>
        </w:rPr>
        <w:t>Chaiken, S./Lieberman, A./Eagly, A.H. (1989): Heuristic and Systematic Information Proces-sing Within and Beyond the Persuation Context. In: Uleman, James S./Bargh, John A. (Hg.), Unintended Thought. New York/London (Guilford Press), S. 212-252.</w:t>
      </w:r>
    </w:p>
    <w:p>
      <w:pPr>
        <w:spacing w:after="0" w:line="116" w:lineRule="exact"/>
        <w:rPr>
          <w:sz w:val="20"/>
          <w:szCs w:val="20"/>
          <w:color w:val="auto"/>
        </w:rPr>
      </w:pPr>
    </w:p>
    <w:p>
      <w:pPr>
        <w:jc w:val="both"/>
        <w:ind w:left="440"/>
        <w:spacing w:after="0" w:line="258" w:lineRule="auto"/>
        <w:rPr>
          <w:sz w:val="20"/>
          <w:szCs w:val="20"/>
          <w:color w:val="auto"/>
        </w:rPr>
      </w:pPr>
      <w:r>
        <w:rPr>
          <w:rFonts w:ascii="Times New Roman" w:cs="Times New Roman" w:eastAsia="Times New Roman" w:hAnsi="Times New Roman"/>
          <w:sz w:val="24"/>
          <w:szCs w:val="24"/>
          <w:color w:val="auto"/>
        </w:rPr>
        <w:t>Chaiken, S./Maheswaran, D. (1994): Heuristic Processing Can Bias Systematic Processing. Effects of Source Credibility, Argument Ambiguity, and Task Importance on Attitude Judge-ment. Journal of Personality and Social Psychology, 66: 460-473.</w:t>
      </w:r>
    </w:p>
    <w:p>
      <w:pPr>
        <w:spacing w:after="0" w:line="116" w:lineRule="exact"/>
        <w:rPr>
          <w:sz w:val="20"/>
          <w:szCs w:val="20"/>
          <w:color w:val="auto"/>
        </w:rPr>
      </w:pPr>
    </w:p>
    <w:p>
      <w:pPr>
        <w:jc w:val="both"/>
        <w:ind w:left="440"/>
        <w:spacing w:after="0" w:line="274" w:lineRule="auto"/>
        <w:rPr>
          <w:sz w:val="20"/>
          <w:szCs w:val="20"/>
          <w:color w:val="auto"/>
        </w:rPr>
      </w:pPr>
      <w:r>
        <w:rPr>
          <w:rFonts w:ascii="Times New Roman" w:cs="Times New Roman" w:eastAsia="Times New Roman" w:hAnsi="Times New Roman"/>
          <w:sz w:val="24"/>
          <w:szCs w:val="24"/>
          <w:color w:val="auto"/>
        </w:rPr>
        <w:t>Coleman, J.S. (1990): Foundations of Social Theory. Cambridge/London (Harvard University Press).</w:t>
      </w:r>
    </w:p>
    <w:p>
      <w:pPr>
        <w:spacing w:after="0" w:line="96" w:lineRule="exact"/>
        <w:rPr>
          <w:sz w:val="20"/>
          <w:szCs w:val="20"/>
          <w:color w:val="auto"/>
        </w:rPr>
      </w:pPr>
    </w:p>
    <w:p>
      <w:pPr>
        <w:jc w:val="both"/>
        <w:ind w:left="440"/>
        <w:spacing w:after="0" w:line="274" w:lineRule="auto"/>
        <w:rPr>
          <w:sz w:val="20"/>
          <w:szCs w:val="20"/>
          <w:color w:val="auto"/>
        </w:rPr>
      </w:pPr>
      <w:r>
        <w:rPr>
          <w:rFonts w:ascii="Times New Roman" w:cs="Times New Roman" w:eastAsia="Times New Roman" w:hAnsi="Times New Roman"/>
          <w:sz w:val="24"/>
          <w:szCs w:val="24"/>
          <w:color w:val="auto"/>
        </w:rPr>
        <w:t>Eagly, A.H./Chaiken, S. (1993): The Psychology of Attitudes. Fort Worth u. a. (Harcourt Brace).</w:t>
      </w:r>
    </w:p>
    <w:p>
      <w:pPr>
        <w:spacing w:after="0" w:line="9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Flynn, J./Burns, W./Mertz, C.K./Slovic, P. (1992): Trust as a Determinant of Opposition to a</w:t>
      </w:r>
    </w:p>
    <w:p>
      <w:pPr>
        <w:spacing w:after="0" w:line="4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High-Level Radioactive Waste Repository: Analysis of a Structural Model. Risk Analysis, 12:</w:t>
      </w:r>
    </w:p>
    <w:p>
      <w:pPr>
        <w:spacing w:after="0" w:line="15"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417-429.</w:t>
      </w:r>
    </w:p>
    <w:p>
      <w:pPr>
        <w:spacing w:after="0" w:line="144" w:lineRule="exact"/>
        <w:rPr>
          <w:sz w:val="20"/>
          <w:szCs w:val="20"/>
          <w:color w:val="auto"/>
        </w:rPr>
      </w:pPr>
    </w:p>
    <w:p>
      <w:pPr>
        <w:jc w:val="both"/>
        <w:ind w:left="440"/>
        <w:spacing w:after="0" w:line="258" w:lineRule="auto"/>
        <w:rPr>
          <w:sz w:val="20"/>
          <w:szCs w:val="20"/>
          <w:color w:val="auto"/>
        </w:rPr>
      </w:pPr>
      <w:r>
        <w:rPr>
          <w:rFonts w:ascii="Times New Roman" w:cs="Times New Roman" w:eastAsia="Times New Roman" w:hAnsi="Times New Roman"/>
          <w:sz w:val="24"/>
          <w:szCs w:val="24"/>
          <w:color w:val="auto"/>
        </w:rPr>
        <w:t>Frewer, L.J./Howard, C./Hedderly, D./Sheppard, R. (1996): What Determines Trust in Informa-tion about Food-Related Risks? Underlying Psychological Constructs. Risk Analysis, 16: 473-486.</w:t>
      </w:r>
    </w:p>
    <w:p>
      <w:pPr>
        <w:spacing w:after="0" w:line="116" w:lineRule="exact"/>
        <w:rPr>
          <w:sz w:val="20"/>
          <w:szCs w:val="20"/>
          <w:color w:val="auto"/>
        </w:rPr>
      </w:pPr>
    </w:p>
    <w:p>
      <w:pPr>
        <w:jc w:val="both"/>
        <w:ind w:left="440"/>
        <w:spacing w:after="0" w:line="258" w:lineRule="auto"/>
        <w:rPr>
          <w:sz w:val="20"/>
          <w:szCs w:val="20"/>
          <w:color w:val="auto"/>
        </w:rPr>
      </w:pPr>
      <w:r>
        <w:rPr>
          <w:rFonts w:ascii="Times New Roman" w:cs="Times New Roman" w:eastAsia="Times New Roman" w:hAnsi="Times New Roman"/>
          <w:sz w:val="24"/>
          <w:szCs w:val="24"/>
          <w:color w:val="auto"/>
        </w:rPr>
        <w:t>Hazlewood, J.D./Chaiken, S. (1990): Personal Relevance, Majority Influence, and the Law of Large Numbers. Paper presented at the meeting of the American Psychological Association. Boston, MA.</w:t>
      </w:r>
    </w:p>
    <w:p>
      <w:pPr>
        <w:spacing w:after="0" w:line="11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Jungermann, H./Pfister, H./Fischer, K. (1996): Credibility, Information Preferences, and Infor-</w:t>
      </w:r>
    </w:p>
    <w:p>
      <w:pPr>
        <w:spacing w:after="0" w:line="4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mation Interests. Risk Analysis, 16: 251-261.</w:t>
      </w:r>
    </w:p>
    <w:p>
      <w:pPr>
        <w:spacing w:after="0" w:line="14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Kunreuther, H./Easterling, D. (1989): Are Risk-Benefit Tradeoffs Possible in Siting Hazardous</w:t>
      </w:r>
    </w:p>
    <w:p>
      <w:pPr>
        <w:spacing w:after="0" w:line="4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Facilities? American Economic Review, 80: 252-256.</w:t>
      </w:r>
    </w:p>
    <w:p>
      <w:pPr>
        <w:spacing w:after="0" w:line="14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Kunreuther, H./Easterling, D./Desvousges, W./Slovic, P. (1990): Public Attitudes Toward</w:t>
      </w:r>
    </w:p>
    <w:p>
      <w:pPr>
        <w:spacing w:after="0" w:line="3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Siting a High-Level Nuclear Waste Repository in Nevada. Risk Analysis, 10: 469-484.</w:t>
      </w:r>
    </w:p>
    <w:p>
      <w:pPr>
        <w:spacing w:after="0" w:line="144"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3"/>
          <w:szCs w:val="23"/>
          <w:color w:val="auto"/>
        </w:rPr>
        <w:t>Peters, R.G./Covello, V.T./McCallum, D.B. (1997): The Determinants of Trust and Credibility</w:t>
      </w:r>
    </w:p>
    <w:p>
      <w:pPr>
        <w:spacing w:after="0" w:line="4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in Environmental Risk Communication: An Empirical Study. Risk Analysis, 17: 43-54.</w:t>
      </w:r>
    </w:p>
    <w:p>
      <w:pPr>
        <w:spacing w:after="0" w:line="144" w:lineRule="exact"/>
        <w:rPr>
          <w:sz w:val="20"/>
          <w:szCs w:val="20"/>
          <w:color w:val="auto"/>
        </w:rPr>
      </w:pPr>
    </w:p>
    <w:p>
      <w:pPr>
        <w:jc w:val="both"/>
        <w:ind w:left="440"/>
        <w:spacing w:after="0" w:line="274" w:lineRule="auto"/>
        <w:rPr>
          <w:sz w:val="20"/>
          <w:szCs w:val="20"/>
          <w:color w:val="auto"/>
        </w:rPr>
      </w:pPr>
      <w:r>
        <w:rPr>
          <w:rFonts w:ascii="Times New Roman" w:cs="Times New Roman" w:eastAsia="Times New Roman" w:hAnsi="Times New Roman"/>
          <w:sz w:val="24"/>
          <w:szCs w:val="24"/>
          <w:color w:val="auto"/>
        </w:rPr>
        <w:t>Petty, R.E./Cacioppo, J.T. (1986): Communication and Persuation. Central and Peripheral Routes to Attitude Change. New York u. a. (Springer).</w:t>
      </w:r>
    </w:p>
    <w:p>
      <w:pPr>
        <w:spacing w:after="0" w:line="9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Renn, O. (1984): Risikowahrnehmung der Kernenergie. Frankfurt (Campus).</w:t>
      </w:r>
    </w:p>
    <w:p>
      <w:pPr>
        <w:spacing w:after="0" w:line="170" w:lineRule="exact"/>
        <w:rPr>
          <w:sz w:val="20"/>
          <w:szCs w:val="20"/>
          <w:color w:val="auto"/>
        </w:rPr>
      </w:pPr>
    </w:p>
    <w:p>
      <w:pPr>
        <w:jc w:val="both"/>
        <w:ind w:left="440"/>
        <w:spacing w:after="0" w:line="258" w:lineRule="auto"/>
        <w:rPr>
          <w:sz w:val="20"/>
          <w:szCs w:val="20"/>
          <w:color w:val="auto"/>
        </w:rPr>
      </w:pPr>
      <w:r>
        <w:rPr>
          <w:rFonts w:ascii="Times New Roman" w:cs="Times New Roman" w:eastAsia="Times New Roman" w:hAnsi="Times New Roman"/>
          <w:sz w:val="24"/>
          <w:szCs w:val="24"/>
          <w:color w:val="auto"/>
        </w:rPr>
        <w:t>Slaby, M./Urban, D. (2002): Risikoakzeptanz als individuelle Entscheidung. Zur Integration der Risikoanalyse in die nutzentheoretische Entscheidungs- und Einstellungsforschung. Schrif-tenreihe des Instituts für Sozialwissenschaften der Universität Stuttgart, No.1/2002.</w:t>
      </w:r>
    </w:p>
    <w:p>
      <w:pPr>
        <w:spacing w:after="0" w:line="116" w:lineRule="exact"/>
        <w:rPr>
          <w:sz w:val="20"/>
          <w:szCs w:val="20"/>
          <w:color w:val="auto"/>
        </w:rPr>
      </w:pPr>
    </w:p>
    <w:p>
      <w:pPr>
        <w:jc w:val="both"/>
        <w:ind w:left="440"/>
        <w:spacing w:after="0" w:line="274" w:lineRule="auto"/>
        <w:rPr>
          <w:sz w:val="20"/>
          <w:szCs w:val="20"/>
          <w:color w:val="auto"/>
        </w:rPr>
      </w:pPr>
      <w:r>
        <w:rPr>
          <w:rFonts w:ascii="Times New Roman" w:cs="Times New Roman" w:eastAsia="Times New Roman" w:hAnsi="Times New Roman"/>
          <w:sz w:val="24"/>
          <w:szCs w:val="24"/>
          <w:color w:val="auto"/>
        </w:rPr>
        <w:t>Strack, F. (1994): Zur Psychologie der standardisierten Befragung. Kognitive und kommunika-tive Prozesse. Berlin u.a. (Springer).</w:t>
      </w:r>
    </w:p>
    <w:p>
      <w:pPr>
        <w:sectPr>
          <w:pgSz w:w="11900" w:h="16840" w:orient="portrait"/>
          <w:cols w:equalWidth="0" w:num="1">
            <w:col w:w="9340"/>
          </w:cols>
          <w:pgMar w:left="1440" w:top="835" w:right="1120" w:bottom="559" w:gutter="0" w:footer="0" w:header="0"/>
        </w:sectPr>
      </w:pPr>
    </w:p>
    <w:bookmarkStart w:id="20" w:name="page21"/>
    <w:bookmarkEnd w:id="20"/>
    <w:p>
      <w:pPr>
        <w:jc w:val="center"/>
        <w:ind w:left="1940"/>
        <w:spacing w:after="0" w:line="258" w:lineRule="auto"/>
        <w:rPr>
          <w:sz w:val="20"/>
          <w:szCs w:val="20"/>
          <w:color w:val="auto"/>
        </w:rPr>
      </w:pPr>
      <w:r>
        <w:rPr>
          <w:rFonts w:ascii="Times New Roman" w:cs="Times New Roman" w:eastAsia="Times New Roman" w:hAnsi="Times New Roman"/>
          <w:sz w:val="24"/>
          <w:szCs w:val="24"/>
          <w:b w:val="1"/>
          <w:bCs w:val="1"/>
          <w:color w:val="auto"/>
        </w:rPr>
        <w:t>SISS: Schriftenreihe des Instituts für Sozialwissenschaften der Universität Stuttgart bisher sind erschienen:</w:t>
      </w:r>
    </w:p>
    <w:p>
      <w:pPr>
        <w:spacing w:after="0" w:line="200" w:lineRule="exact"/>
        <w:rPr>
          <w:sz w:val="20"/>
          <w:szCs w:val="20"/>
          <w:color w:val="auto"/>
        </w:rPr>
      </w:pPr>
    </w:p>
    <w:p>
      <w:pPr>
        <w:ind w:left="1540" w:right="1560" w:hanging="1275"/>
        <w:spacing w:after="0" w:line="253" w:lineRule="auto"/>
        <w:tabs>
          <w:tab w:leader="none" w:pos="1520" w:val="left"/>
        </w:tabs>
        <w:rPr>
          <w:sz w:val="20"/>
          <w:szCs w:val="20"/>
          <w:color w:val="auto"/>
        </w:rPr>
      </w:pPr>
      <w:r>
        <w:rPr>
          <w:rFonts w:ascii="Times New Roman" w:cs="Times New Roman" w:eastAsia="Times New Roman" w:hAnsi="Times New Roman"/>
          <w:sz w:val="22"/>
          <w:szCs w:val="22"/>
          <w:color w:val="auto"/>
        </w:rPr>
        <w:t>No. 1/1994</w:t>
        <w:tab/>
        <w:t>"Vertrauen" - soziologisch betrachtet. Ein Beitrag zur Analyse binärer Interaktionssysteme.</w:t>
      </w:r>
    </w:p>
    <w:p>
      <w:pPr>
        <w:spacing w:after="0" w:line="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Peter Antfang, Dieter Urban</w:t>
      </w:r>
    </w:p>
    <w:p>
      <w:pPr>
        <w:spacing w:after="0" w:line="234" w:lineRule="exact"/>
        <w:rPr>
          <w:sz w:val="20"/>
          <w:szCs w:val="20"/>
          <w:color w:val="auto"/>
        </w:rPr>
      </w:pPr>
    </w:p>
    <w:p>
      <w:pPr>
        <w:ind w:left="260"/>
        <w:spacing w:after="0"/>
        <w:tabs>
          <w:tab w:leader="none" w:pos="1520" w:val="left"/>
        </w:tabs>
        <w:rPr>
          <w:sz w:val="20"/>
          <w:szCs w:val="20"/>
          <w:color w:val="auto"/>
        </w:rPr>
      </w:pPr>
      <w:r>
        <w:rPr>
          <w:rFonts w:ascii="Times New Roman" w:cs="Times New Roman" w:eastAsia="Times New Roman" w:hAnsi="Times New Roman"/>
          <w:sz w:val="22"/>
          <w:szCs w:val="22"/>
          <w:color w:val="auto"/>
        </w:rPr>
        <w:t>No. 2/1994</w:t>
      </w:r>
      <w:r>
        <w:rPr>
          <w:sz w:val="20"/>
          <w:szCs w:val="20"/>
          <w:color w:val="auto"/>
        </w:rPr>
        <w:tab/>
      </w:r>
      <w:r>
        <w:rPr>
          <w:rFonts w:ascii="Times New Roman" w:cs="Times New Roman" w:eastAsia="Times New Roman" w:hAnsi="Times New Roman"/>
          <w:sz w:val="21"/>
          <w:szCs w:val="21"/>
          <w:color w:val="auto"/>
        </w:rPr>
        <w:t>Report on the German Machine Tool Industry.</w:t>
      </w:r>
    </w:p>
    <w:p>
      <w:pPr>
        <w:spacing w:after="0" w:line="27" w:lineRule="exact"/>
        <w:rPr>
          <w:sz w:val="20"/>
          <w:szCs w:val="20"/>
          <w:color w:val="auto"/>
        </w:rPr>
      </w:pPr>
    </w:p>
    <w:p>
      <w:pPr>
        <w:ind w:left="1540" w:right="1800"/>
        <w:spacing w:after="0" w:line="250" w:lineRule="auto"/>
        <w:rPr>
          <w:sz w:val="20"/>
          <w:szCs w:val="20"/>
          <w:color w:val="auto"/>
        </w:rPr>
      </w:pPr>
      <w:r>
        <w:rPr>
          <w:rFonts w:ascii="Times New Roman" w:cs="Times New Roman" w:eastAsia="Times New Roman" w:hAnsi="Times New Roman"/>
          <w:sz w:val="22"/>
          <w:szCs w:val="22"/>
          <w:color w:val="auto"/>
        </w:rPr>
        <w:t>Frank C. Englmann, Christian Heyd, Daniel Köstler, Peter Paustian with the assistance of Susanne Baur and Peter Bergmann</w:t>
      </w:r>
    </w:p>
    <w:p>
      <w:pPr>
        <w:spacing w:after="0" w:line="216" w:lineRule="exact"/>
        <w:rPr>
          <w:sz w:val="20"/>
          <w:szCs w:val="20"/>
          <w:color w:val="auto"/>
        </w:rPr>
      </w:pPr>
    </w:p>
    <w:p>
      <w:pPr>
        <w:ind w:left="1540" w:right="240" w:hanging="1275"/>
        <w:spacing w:after="0" w:line="273" w:lineRule="auto"/>
        <w:tabs>
          <w:tab w:leader="none" w:pos="1520" w:val="left"/>
        </w:tabs>
        <w:rPr>
          <w:sz w:val="20"/>
          <w:szCs w:val="20"/>
          <w:color w:val="auto"/>
        </w:rPr>
      </w:pPr>
      <w:r>
        <w:rPr>
          <w:rFonts w:ascii="Times New Roman" w:cs="Times New Roman" w:eastAsia="Times New Roman" w:hAnsi="Times New Roman"/>
          <w:sz w:val="22"/>
          <w:szCs w:val="22"/>
          <w:color w:val="auto"/>
        </w:rPr>
        <w:t>No. 3/1994</w:t>
        <w:tab/>
        <w:t>Neue württembergische Rechtstatsachen zum Unternehmens- und Gesellschaftsrecht. Udo Kornblum</w:t>
      </w:r>
    </w:p>
    <w:p>
      <w:pPr>
        <w:spacing w:after="0" w:line="191" w:lineRule="exact"/>
        <w:rPr>
          <w:sz w:val="20"/>
          <w:szCs w:val="20"/>
          <w:color w:val="auto"/>
        </w:rPr>
      </w:pPr>
    </w:p>
    <w:p>
      <w:pPr>
        <w:ind w:left="1540" w:right="1140" w:hanging="1275"/>
        <w:spacing w:after="0" w:line="253" w:lineRule="auto"/>
        <w:tabs>
          <w:tab w:leader="none" w:pos="1520" w:val="left"/>
        </w:tabs>
        <w:rPr>
          <w:sz w:val="20"/>
          <w:szCs w:val="20"/>
          <w:color w:val="auto"/>
        </w:rPr>
      </w:pPr>
      <w:r>
        <w:rPr>
          <w:rFonts w:ascii="Times New Roman" w:cs="Times New Roman" w:eastAsia="Times New Roman" w:hAnsi="Times New Roman"/>
          <w:sz w:val="22"/>
          <w:szCs w:val="22"/>
          <w:color w:val="auto"/>
        </w:rPr>
        <w:t>No. 4/1994</w:t>
        <w:tab/>
        <w:t>Rechtstatsachen zum Unternehmens- und Gesellschaftsrecht aus den neuen Bundesländern.</w:t>
      </w:r>
    </w:p>
    <w:p>
      <w:pPr>
        <w:spacing w:after="0" w:line="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Udo Kornblum</w:t>
      </w:r>
    </w:p>
    <w:p>
      <w:pPr>
        <w:spacing w:after="0" w:line="234" w:lineRule="exact"/>
        <w:rPr>
          <w:sz w:val="20"/>
          <w:szCs w:val="20"/>
          <w:color w:val="auto"/>
        </w:rPr>
      </w:pPr>
    </w:p>
    <w:p>
      <w:pPr>
        <w:ind w:left="260"/>
        <w:spacing w:after="0"/>
        <w:tabs>
          <w:tab w:leader="none" w:pos="1520" w:val="left"/>
        </w:tabs>
        <w:rPr>
          <w:sz w:val="20"/>
          <w:szCs w:val="20"/>
          <w:color w:val="auto"/>
        </w:rPr>
      </w:pPr>
      <w:r>
        <w:rPr>
          <w:rFonts w:ascii="Times New Roman" w:cs="Times New Roman" w:eastAsia="Times New Roman" w:hAnsi="Times New Roman"/>
          <w:sz w:val="22"/>
          <w:szCs w:val="22"/>
          <w:color w:val="auto"/>
        </w:rPr>
        <w:t>No. 1/1995</w:t>
      </w:r>
      <w:r>
        <w:rPr>
          <w:sz w:val="20"/>
          <w:szCs w:val="20"/>
          <w:color w:val="auto"/>
        </w:rPr>
        <w:tab/>
      </w:r>
      <w:r>
        <w:rPr>
          <w:rFonts w:ascii="Times New Roman" w:cs="Times New Roman" w:eastAsia="Times New Roman" w:hAnsi="Times New Roman"/>
          <w:sz w:val="21"/>
          <w:szCs w:val="21"/>
          <w:color w:val="auto"/>
        </w:rPr>
        <w:t>Die Bedeutung Neuronaler Netze in der Ökonomie.</w:t>
      </w:r>
    </w:p>
    <w:p>
      <w:pPr>
        <w:spacing w:after="0" w:line="27"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Hermann Schnabl</w:t>
      </w:r>
    </w:p>
    <w:p>
      <w:pPr>
        <w:spacing w:after="0" w:line="234" w:lineRule="exact"/>
        <w:rPr>
          <w:sz w:val="20"/>
          <w:szCs w:val="20"/>
          <w:color w:val="auto"/>
        </w:rPr>
      </w:pPr>
    </w:p>
    <w:p>
      <w:pPr>
        <w:ind w:left="260"/>
        <w:spacing w:after="0"/>
        <w:tabs>
          <w:tab w:leader="none" w:pos="1520" w:val="left"/>
        </w:tabs>
        <w:rPr>
          <w:sz w:val="20"/>
          <w:szCs w:val="20"/>
          <w:color w:val="auto"/>
        </w:rPr>
      </w:pPr>
      <w:r>
        <w:rPr>
          <w:rFonts w:ascii="Times New Roman" w:cs="Times New Roman" w:eastAsia="Times New Roman" w:hAnsi="Times New Roman"/>
          <w:sz w:val="22"/>
          <w:szCs w:val="22"/>
          <w:color w:val="auto"/>
        </w:rPr>
        <w:t>No. 2/1995</w:t>
      </w:r>
      <w:r>
        <w:rPr>
          <w:sz w:val="20"/>
          <w:szCs w:val="20"/>
          <w:color w:val="auto"/>
        </w:rPr>
        <w:tab/>
      </w:r>
      <w:r>
        <w:rPr>
          <w:rFonts w:ascii="Times New Roman" w:cs="Times New Roman" w:eastAsia="Times New Roman" w:hAnsi="Times New Roman"/>
          <w:sz w:val="21"/>
          <w:szCs w:val="21"/>
          <w:color w:val="auto"/>
        </w:rPr>
        <w:t>Regionale Strukturprobleme.</w:t>
      </w:r>
    </w:p>
    <w:p>
      <w:pPr>
        <w:spacing w:after="0" w:line="27"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Sammelband der Beiträge zum Symposium vom 13. und 14.Oktober 1994.</w:t>
      </w:r>
    </w:p>
    <w:p>
      <w:pPr>
        <w:spacing w:after="0" w:line="3"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Frank C. Englmann (Hrsg.)</w:t>
      </w:r>
    </w:p>
    <w:p>
      <w:pPr>
        <w:spacing w:after="0" w:line="234" w:lineRule="exact"/>
        <w:rPr>
          <w:sz w:val="20"/>
          <w:szCs w:val="20"/>
          <w:color w:val="auto"/>
        </w:rPr>
      </w:pPr>
    </w:p>
    <w:p>
      <w:pPr>
        <w:ind w:left="260"/>
        <w:spacing w:after="0"/>
        <w:tabs>
          <w:tab w:leader="none" w:pos="1520" w:val="left"/>
        </w:tabs>
        <w:rPr>
          <w:sz w:val="20"/>
          <w:szCs w:val="20"/>
          <w:color w:val="auto"/>
        </w:rPr>
      </w:pPr>
      <w:r>
        <w:rPr>
          <w:rFonts w:ascii="Times New Roman" w:cs="Times New Roman" w:eastAsia="Times New Roman" w:hAnsi="Times New Roman"/>
          <w:sz w:val="22"/>
          <w:szCs w:val="22"/>
          <w:color w:val="auto"/>
        </w:rPr>
        <w:t>No. 3/1995</w:t>
        <w:tab/>
        <w:t>Latent Attitude Structures Directing the Perception of New Technologies.</w:t>
      </w:r>
    </w:p>
    <w:p>
      <w:pPr>
        <w:spacing w:after="0" w:line="27" w:lineRule="exact"/>
        <w:rPr>
          <w:sz w:val="20"/>
          <w:szCs w:val="20"/>
          <w:color w:val="auto"/>
        </w:rPr>
      </w:pPr>
    </w:p>
    <w:p>
      <w:pPr>
        <w:ind w:left="1540" w:right="360"/>
        <w:spacing w:after="0" w:line="246" w:lineRule="auto"/>
        <w:rPr>
          <w:sz w:val="20"/>
          <w:szCs w:val="20"/>
          <w:color w:val="auto"/>
        </w:rPr>
      </w:pPr>
      <w:r>
        <w:rPr>
          <w:rFonts w:ascii="Times New Roman" w:cs="Times New Roman" w:eastAsia="Times New Roman" w:hAnsi="Times New Roman"/>
          <w:sz w:val="22"/>
          <w:szCs w:val="22"/>
          <w:color w:val="auto"/>
        </w:rPr>
        <w:t>An Application of SEM-Methodology to the Construction of Attitude Measurement Models Related to Technologies of Prenatal Genetic Engineering and Testing. Dieter Urban</w:t>
      </w:r>
    </w:p>
    <w:p>
      <w:pPr>
        <w:spacing w:after="0" w:line="220" w:lineRule="exact"/>
        <w:rPr>
          <w:sz w:val="20"/>
          <w:szCs w:val="20"/>
          <w:color w:val="auto"/>
        </w:rPr>
      </w:pPr>
    </w:p>
    <w:p>
      <w:pPr>
        <w:jc w:val="both"/>
        <w:ind w:left="1540" w:right="480" w:hanging="1275"/>
        <w:spacing w:after="0" w:line="257" w:lineRule="auto"/>
        <w:tabs>
          <w:tab w:leader="none" w:pos="1520" w:val="left"/>
        </w:tabs>
        <w:rPr>
          <w:sz w:val="20"/>
          <w:szCs w:val="20"/>
          <w:color w:val="auto"/>
        </w:rPr>
      </w:pPr>
      <w:r>
        <w:rPr>
          <w:rFonts w:ascii="Times New Roman" w:cs="Times New Roman" w:eastAsia="Times New Roman" w:hAnsi="Times New Roman"/>
          <w:sz w:val="22"/>
          <w:szCs w:val="22"/>
          <w:color w:val="auto"/>
        </w:rPr>
        <w:t>No. 4/1995</w:t>
        <w:tab/>
        <w:t>Handbuch zur empirischen Erhebung von Einstellungen/Kognitionen zur Bio- und Gentechnologie (inklusive Diskette; zweite, überarbeitete und erweiterte Auflage) Uwe Pfenning, Dieter Urban, Volker Weiss</w:t>
      </w:r>
    </w:p>
    <w:p>
      <w:pPr>
        <w:spacing w:after="0" w:line="210" w:lineRule="exact"/>
        <w:rPr>
          <w:sz w:val="20"/>
          <w:szCs w:val="20"/>
          <w:color w:val="auto"/>
        </w:rPr>
      </w:pPr>
    </w:p>
    <w:p>
      <w:pPr>
        <w:jc w:val="both"/>
        <w:ind w:left="1540" w:right="480" w:hanging="1275"/>
        <w:spacing w:after="0" w:line="253" w:lineRule="auto"/>
        <w:tabs>
          <w:tab w:leader="none" w:pos="1520" w:val="left"/>
        </w:tabs>
        <w:rPr>
          <w:sz w:val="20"/>
          <w:szCs w:val="20"/>
          <w:color w:val="auto"/>
        </w:rPr>
      </w:pPr>
      <w:r>
        <w:rPr>
          <w:rFonts w:ascii="Times New Roman" w:cs="Times New Roman" w:eastAsia="Times New Roman" w:hAnsi="Times New Roman"/>
          <w:sz w:val="22"/>
          <w:szCs w:val="22"/>
          <w:color w:val="auto"/>
        </w:rPr>
        <w:t>No. 5/1995</w:t>
        <w:tab/>
        <w:t>Social Indicators in a Nonmetropolitan County: Testing the Representativness of a Regional Nonrandom Survey in Eastern Germany.</w:t>
      </w:r>
    </w:p>
    <w:p>
      <w:pPr>
        <w:spacing w:after="0" w:line="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Dieter Urban, Joachim Singelmann</w:t>
      </w:r>
    </w:p>
    <w:p>
      <w:pPr>
        <w:spacing w:after="0" w:line="234" w:lineRule="exact"/>
        <w:rPr>
          <w:sz w:val="20"/>
          <w:szCs w:val="20"/>
          <w:color w:val="auto"/>
        </w:rPr>
      </w:pPr>
    </w:p>
    <w:p>
      <w:pPr>
        <w:ind w:left="1540" w:right="320" w:hanging="1275"/>
        <w:spacing w:after="0" w:line="250" w:lineRule="auto"/>
        <w:tabs>
          <w:tab w:leader="none" w:pos="1520" w:val="left"/>
        </w:tabs>
        <w:rPr>
          <w:sz w:val="20"/>
          <w:szCs w:val="20"/>
          <w:color w:val="auto"/>
        </w:rPr>
      </w:pPr>
      <w:r>
        <w:rPr>
          <w:rFonts w:ascii="Times New Roman" w:cs="Times New Roman" w:eastAsia="Times New Roman" w:hAnsi="Times New Roman"/>
          <w:sz w:val="22"/>
          <w:szCs w:val="22"/>
          <w:color w:val="auto"/>
        </w:rPr>
        <w:t>No. 1/1996</w:t>
        <w:tab/>
        <w:t>Jugend und Politik im Transformationsprozeß. Eine Fallstudie zur Stabilität und Veränderung von politischen Einstellungen bei ostdeutschen Jugendlichen zwischen 1992 und 1995.</w:t>
      </w:r>
    </w:p>
    <w:p>
      <w:pPr>
        <w:ind w:left="1540"/>
        <w:spacing w:after="0"/>
        <w:rPr>
          <w:sz w:val="20"/>
          <w:szCs w:val="20"/>
          <w:color w:val="auto"/>
        </w:rPr>
      </w:pPr>
      <w:r>
        <w:rPr>
          <w:rFonts w:ascii="Times New Roman" w:cs="Times New Roman" w:eastAsia="Times New Roman" w:hAnsi="Times New Roman"/>
          <w:sz w:val="22"/>
          <w:szCs w:val="22"/>
          <w:color w:val="auto"/>
        </w:rPr>
        <w:t>Dieter Urban, Joachim Singelmann, Helmut Schröder</w:t>
      </w:r>
    </w:p>
    <w:p>
      <w:pPr>
        <w:spacing w:after="0" w:line="234" w:lineRule="exact"/>
        <w:rPr>
          <w:sz w:val="20"/>
          <w:szCs w:val="20"/>
          <w:color w:val="auto"/>
        </w:rPr>
      </w:pPr>
    </w:p>
    <w:p>
      <w:pPr>
        <w:ind w:left="1540" w:right="1040" w:hanging="1275"/>
        <w:spacing w:after="0" w:line="250" w:lineRule="auto"/>
        <w:tabs>
          <w:tab w:leader="none" w:pos="1520" w:val="left"/>
        </w:tabs>
        <w:rPr>
          <w:sz w:val="20"/>
          <w:szCs w:val="20"/>
          <w:color w:val="auto"/>
        </w:rPr>
      </w:pPr>
      <w:r>
        <w:rPr>
          <w:rFonts w:ascii="Times New Roman" w:cs="Times New Roman" w:eastAsia="Times New Roman" w:hAnsi="Times New Roman"/>
          <w:sz w:val="22"/>
          <w:szCs w:val="22"/>
          <w:color w:val="auto"/>
        </w:rPr>
        <w:t>No. 2/1996</w:t>
        <w:tab/>
        <w:t>Einstellungsmessung oder Einstellungsgenerierung? Die Bedeutung der informationellen Basis bei Befragten für die empirische Rekonstruktion von Einstellungen zu gentechnischen Anwendungen.</w:t>
      </w:r>
    </w:p>
    <w:p>
      <w:pPr>
        <w:ind w:left="1540"/>
        <w:spacing w:after="0"/>
        <w:rPr>
          <w:sz w:val="20"/>
          <w:szCs w:val="20"/>
          <w:color w:val="auto"/>
        </w:rPr>
      </w:pPr>
      <w:r>
        <w:rPr>
          <w:rFonts w:ascii="Times New Roman" w:cs="Times New Roman" w:eastAsia="Times New Roman" w:hAnsi="Times New Roman"/>
          <w:sz w:val="22"/>
          <w:szCs w:val="22"/>
          <w:color w:val="auto"/>
        </w:rPr>
        <w:t>Martin Slaby</w:t>
      </w:r>
    </w:p>
    <w:p>
      <w:pPr>
        <w:spacing w:after="0" w:line="234" w:lineRule="exact"/>
        <w:rPr>
          <w:sz w:val="20"/>
          <w:szCs w:val="20"/>
          <w:color w:val="auto"/>
        </w:rPr>
      </w:pPr>
    </w:p>
    <w:p>
      <w:pPr>
        <w:ind w:left="1540" w:right="820" w:hanging="1275"/>
        <w:spacing w:after="0" w:line="257" w:lineRule="auto"/>
        <w:tabs>
          <w:tab w:leader="none" w:pos="1520" w:val="left"/>
        </w:tabs>
        <w:rPr>
          <w:sz w:val="20"/>
          <w:szCs w:val="20"/>
          <w:color w:val="auto"/>
        </w:rPr>
      </w:pPr>
      <w:r>
        <w:rPr>
          <w:rFonts w:ascii="Times New Roman" w:cs="Times New Roman" w:eastAsia="Times New Roman" w:hAnsi="Times New Roman"/>
          <w:sz w:val="22"/>
          <w:szCs w:val="22"/>
          <w:color w:val="auto"/>
        </w:rPr>
        <w:t>No. 1/1997</w:t>
        <w:tab/>
        <w:t>Gentechnik: „Fluch oder Segen“ versus „Fluch und Segen“. Bilanzierende und differenzierende Bewertungen der Gentechnik in der öffentlichen Meinung. Dieter Urban und Uwe Pfenning</w:t>
      </w:r>
    </w:p>
    <w:p>
      <w:pPr>
        <w:sectPr>
          <w:pgSz w:w="11900" w:h="16840" w:orient="portrait"/>
          <w:cols w:equalWidth="0" w:num="1">
            <w:col w:w="9280"/>
          </w:cols>
          <w:pgMar w:left="1440" w:top="1176" w:right="1180" w:bottom="102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8100"/>
        <w:spacing w:after="0"/>
        <w:rPr>
          <w:sz w:val="20"/>
          <w:szCs w:val="20"/>
          <w:color w:val="auto"/>
        </w:rPr>
      </w:pPr>
      <w:r>
        <w:rPr>
          <w:rFonts w:ascii="Times New Roman" w:cs="Times New Roman" w:eastAsia="Times New Roman" w:hAnsi="Times New Roman"/>
          <w:sz w:val="21"/>
          <w:szCs w:val="21"/>
          <w:color w:val="auto"/>
        </w:rPr>
        <w:t>(Fortsetzung)</w:t>
      </w:r>
    </w:p>
    <w:p>
      <w:pPr>
        <w:sectPr>
          <w:pgSz w:w="11900" w:h="16840" w:orient="portrait"/>
          <w:cols w:equalWidth="0" w:num="1">
            <w:col w:w="9280"/>
          </w:cols>
          <w:pgMar w:left="1440" w:top="1176" w:right="1180" w:bottom="1029" w:gutter="0" w:footer="0" w:header="0"/>
          <w:type w:val="continuous"/>
        </w:sectPr>
      </w:pPr>
    </w:p>
    <w:bookmarkStart w:id="21" w:name="page22"/>
    <w:bookmarkEnd w:id="21"/>
    <w:p>
      <w:pPr>
        <w:jc w:val="center"/>
        <w:ind w:left="1740" w:right="200"/>
        <w:spacing w:after="0" w:line="258" w:lineRule="auto"/>
        <w:rPr>
          <w:sz w:val="20"/>
          <w:szCs w:val="20"/>
          <w:color w:val="auto"/>
        </w:rPr>
      </w:pPr>
      <w:r>
        <w:rPr>
          <w:rFonts w:ascii="Times New Roman" w:cs="Times New Roman" w:eastAsia="Times New Roman" w:hAnsi="Times New Roman"/>
          <w:sz w:val="24"/>
          <w:szCs w:val="24"/>
          <w:b w:val="1"/>
          <w:bCs w:val="1"/>
          <w:color w:val="auto"/>
        </w:rPr>
        <w:t>SISS: Schriftenreihe des Instituts für Sozialwissenschaften der Universität Stuttgart bisher sind erschienen (Fortsetzung):</w:t>
      </w:r>
    </w:p>
    <w:p>
      <w:pPr>
        <w:spacing w:after="0" w:line="200" w:lineRule="exact"/>
        <w:rPr>
          <w:sz w:val="20"/>
          <w:szCs w:val="20"/>
          <w:color w:val="auto"/>
        </w:rPr>
      </w:pPr>
    </w:p>
    <w:p>
      <w:pPr>
        <w:ind w:left="1540" w:right="320" w:hanging="1279"/>
        <w:spacing w:after="0" w:line="257" w:lineRule="auto"/>
        <w:tabs>
          <w:tab w:leader="none" w:pos="1520" w:val="left"/>
        </w:tabs>
        <w:rPr>
          <w:sz w:val="20"/>
          <w:szCs w:val="20"/>
          <w:color w:val="auto"/>
        </w:rPr>
      </w:pPr>
      <w:r>
        <w:rPr>
          <w:rFonts w:ascii="Times New Roman" w:cs="Times New Roman" w:eastAsia="Times New Roman" w:hAnsi="Times New Roman"/>
          <w:sz w:val="22"/>
          <w:szCs w:val="22"/>
          <w:color w:val="auto"/>
        </w:rPr>
        <w:t>No.2/1997</w:t>
      </w:r>
      <w:r>
        <w:rPr>
          <w:sz w:val="20"/>
          <w:szCs w:val="20"/>
          <w:color w:val="auto"/>
        </w:rPr>
        <w:tab/>
      </w:r>
      <w:r>
        <w:rPr>
          <w:rFonts w:ascii="Times New Roman" w:cs="Times New Roman" w:eastAsia="Times New Roman" w:hAnsi="Times New Roman"/>
          <w:sz w:val="22"/>
          <w:szCs w:val="22"/>
          <w:color w:val="auto"/>
        </w:rPr>
        <w:t>Die soziale Vererbung von Ausländer“feindlichkeit“. Eine empirische Längsschnitt-analyse der intra- und intergenerativen Transmission von sozialen Einstellungen. Dieter Urban und Joachim Singelmann</w:t>
      </w:r>
    </w:p>
    <w:p>
      <w:pPr>
        <w:spacing w:after="0" w:line="210" w:lineRule="exact"/>
        <w:rPr>
          <w:sz w:val="20"/>
          <w:szCs w:val="20"/>
          <w:color w:val="auto"/>
        </w:rPr>
      </w:pPr>
    </w:p>
    <w:p>
      <w:pPr>
        <w:ind w:left="1540" w:right="260" w:hanging="1275"/>
        <w:spacing w:after="0" w:line="237" w:lineRule="auto"/>
        <w:tabs>
          <w:tab w:leader="none" w:pos="1520" w:val="left"/>
        </w:tabs>
        <w:rPr>
          <w:sz w:val="20"/>
          <w:szCs w:val="20"/>
          <w:color w:val="auto"/>
        </w:rPr>
      </w:pPr>
      <w:r>
        <w:rPr>
          <w:rFonts w:ascii="Times New Roman" w:cs="Times New Roman" w:eastAsia="Times New Roman" w:hAnsi="Times New Roman"/>
          <w:sz w:val="22"/>
          <w:szCs w:val="22"/>
          <w:color w:val="auto"/>
        </w:rPr>
        <w:t>No. 3/1997</w:t>
        <w:tab/>
        <w:t>Politische Sozialisation im Transformationsprozeß: Die Entwicklung demokratiebezogener Einstellungen von ostdeutschen Jugendlichen und deren Eltern zwischen 1992 und 1996.</w:t>
      </w:r>
    </w:p>
    <w:p>
      <w:pPr>
        <w:spacing w:after="0" w:line="2"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Barbara Schmidt, Dieter Urban, Joachim Singelmann</w:t>
      </w:r>
    </w:p>
    <w:p>
      <w:pPr>
        <w:spacing w:after="0" w:line="208" w:lineRule="exact"/>
        <w:rPr>
          <w:sz w:val="20"/>
          <w:szCs w:val="20"/>
          <w:color w:val="auto"/>
        </w:rPr>
      </w:pPr>
    </w:p>
    <w:p>
      <w:pPr>
        <w:jc w:val="both"/>
        <w:ind w:left="260"/>
        <w:spacing w:after="0"/>
        <w:tabs>
          <w:tab w:leader="none" w:pos="1520" w:val="left"/>
        </w:tabs>
        <w:rPr>
          <w:sz w:val="20"/>
          <w:szCs w:val="20"/>
          <w:color w:val="auto"/>
        </w:rPr>
      </w:pPr>
      <w:r>
        <w:rPr>
          <w:rFonts w:ascii="Times New Roman" w:cs="Times New Roman" w:eastAsia="Times New Roman" w:hAnsi="Times New Roman"/>
          <w:sz w:val="22"/>
          <w:szCs w:val="22"/>
          <w:color w:val="auto"/>
        </w:rPr>
        <w:t>No.1/1998</w:t>
      </w:r>
      <w:r>
        <w:rPr>
          <w:sz w:val="20"/>
          <w:szCs w:val="20"/>
          <w:color w:val="auto"/>
        </w:rPr>
        <w:tab/>
      </w:r>
      <w:r>
        <w:rPr>
          <w:rFonts w:ascii="Times New Roman" w:cs="Times New Roman" w:eastAsia="Times New Roman" w:hAnsi="Times New Roman"/>
          <w:sz w:val="22"/>
          <w:szCs w:val="22"/>
          <w:color w:val="auto"/>
        </w:rPr>
        <w:t>Bewertende Einstellungen zur Gentechnik: ihre Form, ihre Inhalte und ihre Dynamik.</w:t>
      </w:r>
    </w:p>
    <w:p>
      <w:pPr>
        <w:jc w:val="right"/>
        <w:ind w:right="160"/>
        <w:spacing w:after="0" w:line="225" w:lineRule="auto"/>
        <w:rPr>
          <w:sz w:val="20"/>
          <w:szCs w:val="20"/>
          <w:color w:val="auto"/>
        </w:rPr>
      </w:pPr>
      <w:r>
        <w:rPr>
          <w:rFonts w:ascii="Times New Roman" w:cs="Times New Roman" w:eastAsia="Times New Roman" w:hAnsi="Times New Roman"/>
          <w:sz w:val="22"/>
          <w:szCs w:val="22"/>
          <w:color w:val="auto"/>
        </w:rPr>
        <w:t>Kurzbericht zu Ergebnissen des Forschungsprojektes „Einstellungen zur Gentechnik“.</w:t>
      </w:r>
    </w:p>
    <w:p>
      <w:pPr>
        <w:spacing w:after="0" w:line="1" w:lineRule="exact"/>
        <w:rPr>
          <w:sz w:val="20"/>
          <w:szCs w:val="20"/>
          <w:color w:val="auto"/>
        </w:rPr>
      </w:pPr>
    </w:p>
    <w:p>
      <w:pPr>
        <w:ind w:left="260" w:right="3280" w:firstLine="1303"/>
        <w:spacing w:after="0" w:line="329" w:lineRule="auto"/>
        <w:rPr>
          <w:sz w:val="20"/>
          <w:szCs w:val="20"/>
          <w:color w:val="auto"/>
        </w:rPr>
      </w:pPr>
      <w:r>
        <w:rPr>
          <w:rFonts w:ascii="Times New Roman" w:cs="Times New Roman" w:eastAsia="Times New Roman" w:hAnsi="Times New Roman"/>
          <w:sz w:val="23"/>
          <w:szCs w:val="23"/>
          <w:color w:val="auto"/>
        </w:rPr>
        <w:t>Dieter Urban. Uwe Pfenning, Joachim Allhoff No.2/1998 Technikeinstellungen: gibt es die überhaupt?</w:t>
      </w:r>
    </w:p>
    <w:p>
      <w:pPr>
        <w:ind w:left="1560"/>
        <w:spacing w:after="0" w:line="212" w:lineRule="auto"/>
        <w:rPr>
          <w:sz w:val="20"/>
          <w:szCs w:val="20"/>
          <w:color w:val="auto"/>
        </w:rPr>
      </w:pPr>
      <w:r>
        <w:rPr>
          <w:rFonts w:ascii="Times New Roman" w:cs="Times New Roman" w:eastAsia="Times New Roman" w:hAnsi="Times New Roman"/>
          <w:sz w:val="24"/>
          <w:szCs w:val="24"/>
          <w:color w:val="auto"/>
        </w:rPr>
        <w:t>Ergebnisse einer Längsschnittanalyse von Bewertungen der Gentechnik.</w:t>
      </w:r>
    </w:p>
    <w:p>
      <w:pPr>
        <w:spacing w:after="0" w:line="1"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4"/>
          <w:szCs w:val="24"/>
          <w:color w:val="auto"/>
        </w:rPr>
        <w:t>Dieter Urban</w:t>
      </w:r>
    </w:p>
    <w:p>
      <w:pPr>
        <w:spacing w:after="0" w:line="175" w:lineRule="exact"/>
        <w:rPr>
          <w:sz w:val="20"/>
          <w:szCs w:val="20"/>
          <w:color w:val="auto"/>
        </w:rPr>
      </w:pPr>
    </w:p>
    <w:p>
      <w:pPr>
        <w:ind w:left="260"/>
        <w:spacing w:after="0"/>
        <w:tabs>
          <w:tab w:leader="none" w:pos="1540" w:val="left"/>
        </w:tabs>
        <w:rPr>
          <w:sz w:val="20"/>
          <w:szCs w:val="20"/>
          <w:color w:val="auto"/>
        </w:rPr>
      </w:pPr>
      <w:r>
        <w:rPr>
          <w:rFonts w:ascii="Times New Roman" w:cs="Times New Roman" w:eastAsia="Times New Roman" w:hAnsi="Times New Roman"/>
          <w:sz w:val="24"/>
          <w:szCs w:val="24"/>
          <w:color w:val="auto"/>
        </w:rPr>
        <w:t>No.3/1998</w:t>
        <w:tab/>
        <w:t>Zur Interaktion zwischen Befragten und Erhebungsinstrument.</w:t>
      </w:r>
    </w:p>
    <w:p>
      <w:pPr>
        <w:ind w:left="1560" w:right="1100"/>
        <w:spacing w:after="0" w:line="218" w:lineRule="auto"/>
        <w:rPr>
          <w:sz w:val="20"/>
          <w:szCs w:val="20"/>
          <w:color w:val="auto"/>
        </w:rPr>
      </w:pPr>
      <w:r>
        <w:rPr>
          <w:rFonts w:ascii="Times New Roman" w:cs="Times New Roman" w:eastAsia="Times New Roman" w:hAnsi="Times New Roman"/>
          <w:sz w:val="24"/>
          <w:szCs w:val="24"/>
          <w:color w:val="auto"/>
        </w:rPr>
        <w:t>Eine Untersuchung zur Konstanz des Meinungsurteils von Befragten im Interviewverlauf.</w:t>
      </w:r>
    </w:p>
    <w:p>
      <w:pPr>
        <w:spacing w:after="0" w:line="2"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2"/>
          <w:szCs w:val="22"/>
          <w:color w:val="auto"/>
        </w:rPr>
        <w:t>Martin Slaby</w:t>
      </w:r>
    </w:p>
    <w:p>
      <w:pPr>
        <w:spacing w:after="0" w:line="208" w:lineRule="exact"/>
        <w:rPr>
          <w:sz w:val="20"/>
          <w:szCs w:val="20"/>
          <w:color w:val="auto"/>
        </w:rPr>
      </w:pPr>
    </w:p>
    <w:p>
      <w:pPr>
        <w:ind w:left="260"/>
        <w:spacing w:after="0"/>
        <w:tabs>
          <w:tab w:leader="none" w:pos="1520" w:val="left"/>
        </w:tabs>
        <w:rPr>
          <w:sz w:val="20"/>
          <w:szCs w:val="20"/>
          <w:color w:val="auto"/>
        </w:rPr>
      </w:pPr>
      <w:r>
        <w:rPr>
          <w:rFonts w:ascii="Times New Roman" w:cs="Times New Roman" w:eastAsia="Times New Roman" w:hAnsi="Times New Roman"/>
          <w:sz w:val="22"/>
          <w:szCs w:val="22"/>
          <w:color w:val="auto"/>
        </w:rPr>
        <w:t>No.1/1999</w:t>
      </w:r>
      <w:r>
        <w:rPr>
          <w:sz w:val="20"/>
          <w:szCs w:val="20"/>
          <w:color w:val="auto"/>
        </w:rPr>
        <w:tab/>
      </w:r>
      <w:r>
        <w:rPr>
          <w:rFonts w:ascii="Times New Roman" w:cs="Times New Roman" w:eastAsia="Times New Roman" w:hAnsi="Times New Roman"/>
          <w:sz w:val="22"/>
          <w:szCs w:val="22"/>
          <w:color w:val="auto"/>
        </w:rPr>
        <w:t>Role Models and Trust in Socio-Political Institutions:</w:t>
      </w:r>
    </w:p>
    <w:p>
      <w:pPr>
        <w:spacing w:after="0" w:line="3"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2"/>
          <w:szCs w:val="22"/>
          <w:color w:val="auto"/>
        </w:rPr>
        <w:t>A Case Study in Eastern Germany, 1992-96.</w:t>
      </w:r>
    </w:p>
    <w:p>
      <w:pPr>
        <w:ind w:left="1560"/>
        <w:spacing w:after="0"/>
        <w:rPr>
          <w:sz w:val="20"/>
          <w:szCs w:val="20"/>
          <w:color w:val="auto"/>
        </w:rPr>
      </w:pPr>
      <w:r>
        <w:rPr>
          <w:rFonts w:ascii="Times New Roman" w:cs="Times New Roman" w:eastAsia="Times New Roman" w:hAnsi="Times New Roman"/>
          <w:sz w:val="22"/>
          <w:szCs w:val="22"/>
          <w:color w:val="auto"/>
        </w:rPr>
        <w:t>Joachim Singelmann, Toby A. Ten Ayck, Dieter Urban</w:t>
      </w:r>
    </w:p>
    <w:p>
      <w:pPr>
        <w:spacing w:after="0" w:line="208" w:lineRule="exact"/>
        <w:rPr>
          <w:sz w:val="20"/>
          <w:szCs w:val="20"/>
          <w:color w:val="auto"/>
        </w:rPr>
      </w:pPr>
    </w:p>
    <w:p>
      <w:pPr>
        <w:jc w:val="both"/>
        <w:ind w:left="1540" w:right="120" w:hanging="1279"/>
        <w:spacing w:after="0" w:line="235" w:lineRule="auto"/>
        <w:tabs>
          <w:tab w:leader="none" w:pos="1520" w:val="left"/>
        </w:tabs>
        <w:rPr>
          <w:sz w:val="20"/>
          <w:szCs w:val="20"/>
          <w:color w:val="auto"/>
        </w:rPr>
      </w:pPr>
      <w:r>
        <w:rPr>
          <w:rFonts w:ascii="Times New Roman" w:cs="Times New Roman" w:eastAsia="Times New Roman" w:hAnsi="Times New Roman"/>
          <w:sz w:val="22"/>
          <w:szCs w:val="22"/>
          <w:color w:val="auto"/>
        </w:rPr>
        <w:t>No.1/2000</w:t>
      </w:r>
      <w:r>
        <w:rPr>
          <w:sz w:val="20"/>
          <w:szCs w:val="20"/>
          <w:color w:val="auto"/>
        </w:rPr>
        <w:tab/>
      </w:r>
      <w:r>
        <w:rPr>
          <w:rFonts w:ascii="Times New Roman" w:cs="Times New Roman" w:eastAsia="Times New Roman" w:hAnsi="Times New Roman"/>
          <w:sz w:val="22"/>
          <w:szCs w:val="22"/>
          <w:color w:val="auto"/>
        </w:rPr>
        <w:t>Die Zufriedenheit von Stuttgarter Studierenden mit ihrer Lebens- und Wohnsituation. Erste deskriptive Ergebnisse einer sozialwissenschaftlichen Studie zu allgemeinen und bereichspezifischen Zufriedenheiten der Studierenden des Campus Vaihingen und des Campus Hohenheim.</w:t>
      </w:r>
    </w:p>
    <w:p>
      <w:pPr>
        <w:spacing w:after="0" w:line="3" w:lineRule="exact"/>
        <w:rPr>
          <w:sz w:val="20"/>
          <w:szCs w:val="20"/>
          <w:color w:val="auto"/>
        </w:rPr>
      </w:pPr>
    </w:p>
    <w:p>
      <w:pPr>
        <w:ind w:left="1560" w:right="920"/>
        <w:spacing w:after="0" w:line="239" w:lineRule="auto"/>
        <w:rPr>
          <w:sz w:val="20"/>
          <w:szCs w:val="20"/>
          <w:color w:val="auto"/>
        </w:rPr>
      </w:pPr>
      <w:r>
        <w:rPr>
          <w:rFonts w:ascii="Times New Roman" w:cs="Times New Roman" w:eastAsia="Times New Roman" w:hAnsi="Times New Roman"/>
          <w:sz w:val="22"/>
          <w:szCs w:val="22"/>
          <w:color w:val="auto"/>
        </w:rPr>
        <w:t>Projektgruppe Campus: Slaby, M., Grund, R., Mayerl, J., Noak, T., Payk, B., Sellke, P., Urban, D., Zudrell, I.</w:t>
      </w:r>
    </w:p>
    <w:p>
      <w:pPr>
        <w:spacing w:after="0" w:line="199" w:lineRule="exact"/>
        <w:rPr>
          <w:sz w:val="20"/>
          <w:szCs w:val="20"/>
          <w:color w:val="auto"/>
        </w:rPr>
      </w:pPr>
    </w:p>
    <w:p>
      <w:pPr>
        <w:ind w:left="1560" w:right="640" w:hanging="1299"/>
        <w:spacing w:after="0" w:line="241" w:lineRule="auto"/>
        <w:tabs>
          <w:tab w:leader="none" w:pos="1540" w:val="left"/>
        </w:tabs>
        <w:rPr>
          <w:sz w:val="20"/>
          <w:szCs w:val="20"/>
          <w:color w:val="auto"/>
        </w:rPr>
      </w:pPr>
      <w:r>
        <w:rPr>
          <w:rFonts w:ascii="Times New Roman" w:cs="Times New Roman" w:eastAsia="Times New Roman" w:hAnsi="Times New Roman"/>
          <w:sz w:val="22"/>
          <w:szCs w:val="22"/>
          <w:color w:val="auto"/>
        </w:rPr>
        <w:t>No.2/2000</w:t>
      </w:r>
      <w:r>
        <w:rPr>
          <w:sz w:val="20"/>
          <w:szCs w:val="20"/>
          <w:color w:val="auto"/>
        </w:rPr>
        <w:tab/>
      </w:r>
      <w:r>
        <w:rPr>
          <w:rFonts w:ascii="Times New Roman" w:cs="Times New Roman" w:eastAsia="Times New Roman" w:hAnsi="Times New Roman"/>
          <w:sz w:val="22"/>
          <w:szCs w:val="22"/>
          <w:color w:val="auto"/>
        </w:rPr>
        <w:t>Längsschnittanalysen mit latenten Wachstumskurvenmodellen in der politischen Sozialisationsforschung.</w:t>
      </w:r>
    </w:p>
    <w:p>
      <w:pPr>
        <w:spacing w:after="0" w:line="1"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2"/>
          <w:szCs w:val="22"/>
          <w:color w:val="auto"/>
        </w:rPr>
        <w:t>Dieter Urban</w:t>
      </w:r>
    </w:p>
    <w:p>
      <w:pPr>
        <w:spacing w:after="0" w:line="208" w:lineRule="exact"/>
        <w:rPr>
          <w:sz w:val="20"/>
          <w:szCs w:val="20"/>
          <w:color w:val="auto"/>
        </w:rPr>
      </w:pPr>
    </w:p>
    <w:p>
      <w:pPr>
        <w:ind w:left="1560" w:right="1500" w:hanging="1302"/>
        <w:spacing w:after="0" w:line="260" w:lineRule="auto"/>
        <w:tabs>
          <w:tab w:leader="none" w:pos="1540" w:val="left"/>
        </w:tabs>
        <w:rPr>
          <w:sz w:val="20"/>
          <w:szCs w:val="20"/>
          <w:color w:val="auto"/>
        </w:rPr>
      </w:pPr>
      <w:r>
        <w:rPr>
          <w:rFonts w:ascii="Times New Roman" w:cs="Times New Roman" w:eastAsia="Times New Roman" w:hAnsi="Times New Roman"/>
          <w:sz w:val="22"/>
          <w:szCs w:val="22"/>
          <w:color w:val="auto"/>
        </w:rPr>
        <w:t>No.1/2001</w:t>
      </w:r>
      <w:r>
        <w:rPr>
          <w:sz w:val="20"/>
          <w:szCs w:val="20"/>
          <w:color w:val="auto"/>
        </w:rPr>
        <w:tab/>
      </w:r>
      <w:r>
        <w:rPr>
          <w:rFonts w:ascii="Times New Roman" w:cs="Times New Roman" w:eastAsia="Times New Roman" w:hAnsi="Times New Roman"/>
          <w:sz w:val="22"/>
          <w:szCs w:val="22"/>
          <w:color w:val="auto"/>
        </w:rPr>
        <w:t>Unser „wir“ - ein systemtheoretisches Modell von Gruppenidentitäten. Jan A. Fuhse</w:t>
      </w:r>
    </w:p>
    <w:p>
      <w:pPr>
        <w:spacing w:after="0" w:line="179" w:lineRule="exact"/>
        <w:rPr>
          <w:sz w:val="20"/>
          <w:szCs w:val="20"/>
          <w:color w:val="auto"/>
        </w:rPr>
      </w:pPr>
    </w:p>
    <w:p>
      <w:pPr>
        <w:ind w:left="1560" w:right="1300" w:hanging="1302"/>
        <w:spacing w:after="0" w:line="241" w:lineRule="auto"/>
        <w:tabs>
          <w:tab w:leader="none" w:pos="1540" w:val="left"/>
        </w:tabs>
        <w:rPr>
          <w:sz w:val="20"/>
          <w:szCs w:val="20"/>
          <w:color w:val="auto"/>
        </w:rPr>
      </w:pPr>
      <w:r>
        <w:rPr>
          <w:rFonts w:ascii="Times New Roman" w:cs="Times New Roman" w:eastAsia="Times New Roman" w:hAnsi="Times New Roman"/>
          <w:sz w:val="22"/>
          <w:szCs w:val="22"/>
          <w:color w:val="auto"/>
        </w:rPr>
        <w:t>No.2/2001</w:t>
      </w:r>
      <w:r>
        <w:rPr>
          <w:sz w:val="20"/>
          <w:szCs w:val="20"/>
          <w:color w:val="auto"/>
        </w:rPr>
        <w:tab/>
      </w:r>
      <w:r>
        <w:rPr>
          <w:rFonts w:ascii="Times New Roman" w:cs="Times New Roman" w:eastAsia="Times New Roman" w:hAnsi="Times New Roman"/>
          <w:sz w:val="22"/>
          <w:szCs w:val="22"/>
          <w:color w:val="auto"/>
        </w:rPr>
        <w:t>Differentielle Technikakzeptanz, oder: Nicht immer führt die Ablehnung einer Technik auch zur Ablehnung ihrer Anwendungen.</w:t>
      </w:r>
    </w:p>
    <w:p>
      <w:pPr>
        <w:ind w:left="1560"/>
        <w:spacing w:after="0" w:line="230" w:lineRule="auto"/>
        <w:rPr>
          <w:sz w:val="20"/>
          <w:szCs w:val="20"/>
          <w:color w:val="auto"/>
        </w:rPr>
      </w:pPr>
      <w:r>
        <w:rPr>
          <w:rFonts w:ascii="Times New Roman" w:cs="Times New Roman" w:eastAsia="Times New Roman" w:hAnsi="Times New Roman"/>
          <w:sz w:val="22"/>
          <w:szCs w:val="22"/>
          <w:color w:val="auto"/>
        </w:rPr>
        <w:t>Eine nutzentheoretische und modell-statistische Analyse.</w:t>
      </w:r>
    </w:p>
    <w:p>
      <w:pPr>
        <w:spacing w:after="0" w:line="1"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2"/>
          <w:szCs w:val="22"/>
          <w:color w:val="auto"/>
        </w:rPr>
        <w:t>Martin Slaby, Dieter Urban</w:t>
      </w:r>
    </w:p>
    <w:p>
      <w:pPr>
        <w:spacing w:after="0" w:line="208" w:lineRule="exact"/>
        <w:rPr>
          <w:sz w:val="20"/>
          <w:szCs w:val="20"/>
          <w:color w:val="auto"/>
        </w:rPr>
      </w:pPr>
    </w:p>
    <w:p>
      <w:pPr>
        <w:ind w:left="1560" w:right="320" w:hanging="1299"/>
        <w:spacing w:after="0" w:line="241" w:lineRule="auto"/>
        <w:tabs>
          <w:tab w:leader="none" w:pos="1540" w:val="left"/>
        </w:tabs>
        <w:rPr>
          <w:sz w:val="20"/>
          <w:szCs w:val="20"/>
          <w:color w:val="auto"/>
        </w:rPr>
      </w:pPr>
      <w:r>
        <w:rPr>
          <w:rFonts w:ascii="Times New Roman" w:cs="Times New Roman" w:eastAsia="Times New Roman" w:hAnsi="Times New Roman"/>
          <w:sz w:val="22"/>
          <w:szCs w:val="22"/>
          <w:color w:val="auto"/>
        </w:rPr>
        <w:t>No.3/2001</w:t>
      </w:r>
      <w:r>
        <w:rPr>
          <w:sz w:val="20"/>
          <w:szCs w:val="20"/>
          <w:color w:val="auto"/>
        </w:rPr>
        <w:tab/>
      </w:r>
      <w:r>
        <w:rPr>
          <w:rFonts w:ascii="Times New Roman" w:cs="Times New Roman" w:eastAsia="Times New Roman" w:hAnsi="Times New Roman"/>
          <w:sz w:val="22"/>
          <w:szCs w:val="22"/>
          <w:color w:val="auto"/>
        </w:rPr>
        <w:t>Religiosität und Profession. Longitudinale Analysen zur Entwicklung des religiösen Selbstbildes bei Erzieherinnen.</w:t>
      </w:r>
    </w:p>
    <w:p>
      <w:pPr>
        <w:spacing w:after="0" w:line="1"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2"/>
          <w:szCs w:val="22"/>
          <w:color w:val="auto"/>
        </w:rPr>
        <w:t>Heiko Lindhorst</w:t>
      </w:r>
    </w:p>
    <w:p>
      <w:pPr>
        <w:spacing w:after="0" w:line="208" w:lineRule="exact"/>
        <w:rPr>
          <w:sz w:val="20"/>
          <w:szCs w:val="20"/>
          <w:color w:val="auto"/>
        </w:rPr>
      </w:pPr>
    </w:p>
    <w:p>
      <w:pPr>
        <w:ind w:left="1560" w:right="1700" w:hanging="1299"/>
        <w:spacing w:after="0" w:line="237" w:lineRule="auto"/>
        <w:tabs>
          <w:tab w:leader="none" w:pos="1540" w:val="left"/>
        </w:tabs>
        <w:rPr>
          <w:sz w:val="20"/>
          <w:szCs w:val="20"/>
          <w:color w:val="auto"/>
        </w:rPr>
      </w:pPr>
      <w:r>
        <w:rPr>
          <w:rFonts w:ascii="Times New Roman" w:cs="Times New Roman" w:eastAsia="Times New Roman" w:hAnsi="Times New Roman"/>
          <w:sz w:val="22"/>
          <w:szCs w:val="22"/>
          <w:color w:val="auto"/>
        </w:rPr>
        <w:t>No.4/2001</w:t>
      </w:r>
      <w:r>
        <w:rPr>
          <w:sz w:val="20"/>
          <w:szCs w:val="20"/>
          <w:color w:val="auto"/>
        </w:rPr>
        <w:tab/>
      </w:r>
      <w:r>
        <w:rPr>
          <w:rFonts w:ascii="Times New Roman" w:cs="Times New Roman" w:eastAsia="Times New Roman" w:hAnsi="Times New Roman"/>
          <w:sz w:val="22"/>
          <w:szCs w:val="22"/>
          <w:color w:val="auto"/>
        </w:rPr>
        <w:t>Ist Glück ein affektiver Sozialindikator subjektiven Wohlbefindens? Dimensionen des subjektiven Wohlbefindens und die Differenz zwischen Glück und Zufriedenheit.</w:t>
      </w:r>
    </w:p>
    <w:p>
      <w:pPr>
        <w:spacing w:after="0" w:line="2" w:lineRule="exact"/>
        <w:rPr>
          <w:sz w:val="20"/>
          <w:szCs w:val="20"/>
          <w:color w:val="auto"/>
        </w:rPr>
      </w:pPr>
    </w:p>
    <w:p>
      <w:pPr>
        <w:ind w:left="1560"/>
        <w:spacing w:after="0"/>
        <w:rPr>
          <w:sz w:val="20"/>
          <w:szCs w:val="20"/>
          <w:color w:val="auto"/>
        </w:rPr>
      </w:pPr>
      <w:r>
        <w:rPr>
          <w:rFonts w:ascii="Times New Roman" w:cs="Times New Roman" w:eastAsia="Times New Roman" w:hAnsi="Times New Roman"/>
          <w:sz w:val="22"/>
          <w:szCs w:val="22"/>
          <w:color w:val="auto"/>
        </w:rPr>
        <w:t>Jochen Mayerl</w:t>
      </w:r>
    </w:p>
    <w:p>
      <w:pPr>
        <w:spacing w:after="0" w:line="208"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2"/>
          <w:szCs w:val="22"/>
          <w:color w:val="auto"/>
        </w:rPr>
        <w:t>(Fortsetzung)</w:t>
      </w:r>
    </w:p>
    <w:p>
      <w:pPr>
        <w:sectPr>
          <w:pgSz w:w="11900" w:h="16840" w:orient="portrait"/>
          <w:cols w:equalWidth="0" w:num="1">
            <w:col w:w="9280"/>
          </w:cols>
          <w:pgMar w:left="1440" w:top="1312" w:right="1180" w:bottom="774" w:gutter="0" w:footer="0" w:header="0"/>
        </w:sectPr>
      </w:pPr>
    </w:p>
    <w:bookmarkStart w:id="22" w:name="page23"/>
    <w:bookmarkEnd w:id="22"/>
    <w:p>
      <w:pPr>
        <w:jc w:val="center"/>
        <w:ind w:left="1940"/>
        <w:spacing w:after="0" w:line="247" w:lineRule="auto"/>
        <w:rPr>
          <w:sz w:val="20"/>
          <w:szCs w:val="20"/>
          <w:color w:val="auto"/>
        </w:rPr>
      </w:pPr>
      <w:r>
        <w:rPr>
          <w:rFonts w:ascii="Times New Roman" w:cs="Times New Roman" w:eastAsia="Times New Roman" w:hAnsi="Times New Roman"/>
          <w:sz w:val="24"/>
          <w:szCs w:val="24"/>
          <w:b w:val="1"/>
          <w:bCs w:val="1"/>
          <w:color w:val="auto"/>
        </w:rPr>
        <w:t>SISS: Schriftenreihe des Instituts für Sozialwissenschaften der Universität Stuttgart bisher sind erschienen (Fortsetzung):</w:t>
      </w:r>
    </w:p>
    <w:p>
      <w:pPr>
        <w:spacing w:after="0" w:line="185" w:lineRule="exact"/>
        <w:rPr>
          <w:sz w:val="20"/>
          <w:szCs w:val="20"/>
          <w:color w:val="auto"/>
        </w:rPr>
      </w:pPr>
    </w:p>
    <w:p>
      <w:pPr>
        <w:ind w:left="260"/>
        <w:spacing w:after="0"/>
        <w:tabs>
          <w:tab w:leader="none" w:pos="1800" w:val="left"/>
        </w:tabs>
        <w:rPr>
          <w:sz w:val="20"/>
          <w:szCs w:val="20"/>
          <w:color w:val="auto"/>
        </w:rPr>
      </w:pPr>
      <w:r>
        <w:rPr>
          <w:rFonts w:ascii="Times New Roman" w:cs="Times New Roman" w:eastAsia="Times New Roman" w:hAnsi="Times New Roman"/>
          <w:sz w:val="22"/>
          <w:szCs w:val="22"/>
          <w:color w:val="auto"/>
        </w:rPr>
        <w:t>No.1/2002</w:t>
      </w:r>
      <w:r>
        <w:rPr>
          <w:sz w:val="20"/>
          <w:szCs w:val="20"/>
          <w:color w:val="auto"/>
        </w:rPr>
        <w:tab/>
      </w:r>
      <w:r>
        <w:rPr>
          <w:rFonts w:ascii="Times New Roman" w:cs="Times New Roman" w:eastAsia="Times New Roman" w:hAnsi="Times New Roman"/>
          <w:sz w:val="22"/>
          <w:szCs w:val="22"/>
          <w:color w:val="auto"/>
        </w:rPr>
        <w:t>Risikoakzeptanz als individuelle Entscheidung.</w:t>
      </w:r>
    </w:p>
    <w:p>
      <w:pPr>
        <w:spacing w:after="0" w:line="13" w:lineRule="exact"/>
        <w:rPr>
          <w:sz w:val="20"/>
          <w:szCs w:val="20"/>
          <w:color w:val="auto"/>
        </w:rPr>
      </w:pPr>
    </w:p>
    <w:p>
      <w:pPr>
        <w:ind w:left="1820" w:right="2040"/>
        <w:spacing w:after="0" w:line="236" w:lineRule="auto"/>
        <w:rPr>
          <w:sz w:val="20"/>
          <w:szCs w:val="20"/>
          <w:color w:val="auto"/>
        </w:rPr>
      </w:pPr>
      <w:r>
        <w:rPr>
          <w:rFonts w:ascii="Times New Roman" w:cs="Times New Roman" w:eastAsia="Times New Roman" w:hAnsi="Times New Roman"/>
          <w:sz w:val="22"/>
          <w:szCs w:val="22"/>
          <w:color w:val="auto"/>
        </w:rPr>
        <w:t>Zur Integration der Risikoanalyse in die nutzentheoretische Entscheidungs- und Einstellungsforschung. Martin Slaby, Dieter Urban</w:t>
      </w:r>
    </w:p>
    <w:p>
      <w:pPr>
        <w:spacing w:after="0" w:line="199" w:lineRule="exact"/>
        <w:rPr>
          <w:sz w:val="20"/>
          <w:szCs w:val="20"/>
          <w:color w:val="auto"/>
        </w:rPr>
      </w:pPr>
    </w:p>
    <w:p>
      <w:pPr>
        <w:ind w:left="1820" w:right="1860" w:hanging="1559"/>
        <w:spacing w:after="0" w:line="241" w:lineRule="auto"/>
        <w:tabs>
          <w:tab w:leader="none" w:pos="1800" w:val="left"/>
        </w:tabs>
        <w:rPr>
          <w:sz w:val="20"/>
          <w:szCs w:val="20"/>
          <w:color w:val="auto"/>
        </w:rPr>
      </w:pPr>
      <w:r>
        <w:rPr>
          <w:rFonts w:ascii="Times New Roman" w:cs="Times New Roman" w:eastAsia="Times New Roman" w:hAnsi="Times New Roman"/>
          <w:sz w:val="22"/>
          <w:szCs w:val="22"/>
          <w:color w:val="auto"/>
        </w:rPr>
        <w:t>No.2/2002</w:t>
      </w:r>
      <w:r>
        <w:rPr>
          <w:sz w:val="20"/>
          <w:szCs w:val="20"/>
          <w:color w:val="auto"/>
        </w:rPr>
        <w:tab/>
      </w:r>
      <w:r>
        <w:rPr>
          <w:rFonts w:ascii="Times New Roman" w:cs="Times New Roman" w:eastAsia="Times New Roman" w:hAnsi="Times New Roman"/>
          <w:sz w:val="22"/>
          <w:szCs w:val="22"/>
          <w:color w:val="auto"/>
        </w:rPr>
        <w:t>Vertrauen und Risikoakzeptanz. Zur Relevanz von Vertrauen bei der Bewertung neuer Technologien.</w:t>
      </w:r>
    </w:p>
    <w:p>
      <w:pPr>
        <w:spacing w:after="0" w:line="1" w:lineRule="exact"/>
        <w:rPr>
          <w:sz w:val="20"/>
          <w:szCs w:val="20"/>
          <w:color w:val="auto"/>
        </w:rPr>
      </w:pPr>
    </w:p>
    <w:p>
      <w:pPr>
        <w:ind w:left="1820"/>
        <w:spacing w:after="0"/>
        <w:rPr>
          <w:sz w:val="20"/>
          <w:szCs w:val="20"/>
          <w:color w:val="auto"/>
        </w:rPr>
      </w:pPr>
      <w:r>
        <w:rPr>
          <w:rFonts w:ascii="Times New Roman" w:cs="Times New Roman" w:eastAsia="Times New Roman" w:hAnsi="Times New Roman"/>
          <w:sz w:val="22"/>
          <w:szCs w:val="22"/>
          <w:color w:val="auto"/>
        </w:rPr>
        <w:t>Martin Slaby, Dieter Urban</w:t>
      </w:r>
    </w:p>
    <w:sectPr>
      <w:pgSz w:w="11900" w:h="16840" w:orient="portrait"/>
      <w:cols w:equalWidth="0" w:num="1">
        <w:col w:w="9080"/>
      </w:cols>
      <w:pgMar w:left="1440" w:top="1294" w:right="13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1B71EFB"/>
    <w:multiLevelType w:val="hybridMultilevel"/>
    <w:lvl w:ilvl="0">
      <w:lvlJc w:val="left"/>
      <w:lvlText w:val="%1)"/>
      <w:numFmt w:val="decimal"/>
      <w:start w:val="1"/>
    </w:lvl>
  </w:abstractNum>
  <w:abstractNum w:abstractNumId="1">
    <w:nsid w:val="79E2A9E3"/>
    <w:multiLevelType w:val="hybridMultilevel"/>
    <w:lvl w:ilvl="0">
      <w:lvlJc w:val="left"/>
      <w:lvlText w:val="%1)"/>
      <w:numFmt w:val="decimal"/>
      <w:start w:val="5"/>
    </w:lvl>
  </w:abstractNum>
  <w:abstractNum w:abstractNumId="2">
    <w:nsid w:val="7545E146"/>
    <w:multiLevelType w:val="hybridMultilevel"/>
    <w:lvl w:ilvl="0">
      <w:lvlJc w:val="left"/>
      <w:lvlText w:val="%1)"/>
      <w:numFmt w:val="decimal"/>
      <w:start w:val="7"/>
    </w:lvl>
  </w:abstractNum>
  <w:abstractNum w:abstractNumId="3">
    <w:nsid w:val="515F007C"/>
    <w:multiLevelType w:val="hybridMultilevel"/>
    <w:lvl w:ilvl="0">
      <w:lvlJc w:val="left"/>
      <w:lvlText w:val="%1)"/>
      <w:numFmt w:val="decimal"/>
      <w:start w:val="9"/>
    </w:lvl>
  </w:abstractNum>
  <w:abstractNum w:abstractNumId="4">
    <w:nsid w:val="5BD062C2"/>
    <w:multiLevelType w:val="hybridMultilevel"/>
    <w:lvl w:ilvl="0">
      <w:lvlJc w:val="left"/>
      <w:lvlText w:val="%1)"/>
      <w:numFmt w:val="decimal"/>
      <w:start w:val="11"/>
    </w:lvl>
  </w:abstractNum>
  <w:abstractNum w:abstractNumId="5">
    <w:nsid w:val="12200854"/>
    <w:multiLevelType w:val="hybridMultilevel"/>
    <w:lvl w:ilvl="0">
      <w:lvlJc w:val="left"/>
      <w:lvlText w:val="%1)"/>
      <w:numFmt w:val="decimal"/>
      <w:start w:val="12"/>
    </w:lvl>
  </w:abstractNum>
  <w:abstractNum w:abstractNumId="6">
    <w:nsid w:val="4DB127F8"/>
    <w:multiLevelType w:val="hybridMultilevel"/>
    <w:lvl w:ilvl="0">
      <w:lvlJc w:val="left"/>
      <w:lvlText w:val="%1)"/>
      <w:numFmt w:val="decimal"/>
      <w:start w:val="13"/>
    </w:lvl>
  </w:abstractNum>
  <w:abstractNum w:abstractNumId="7">
    <w:nsid w:val="216231B"/>
    <w:multiLevelType w:val="hybridMultilevel"/>
    <w:lvl w:ilvl="0">
      <w:lvlJc w:val="left"/>
      <w:lvlText w:val="%1)"/>
      <w:numFmt w:val="decimal"/>
      <w:start w:val="16"/>
    </w:lvl>
  </w:abstractNum>
  <w:abstractNum w:abstractNumId="8">
    <w:nsid w:val="1F16E9E8"/>
    <w:multiLevelType w:val="hybridMultilevel"/>
    <w:lvl w:ilvl="0">
      <w:lvlJc w:val="left"/>
      <w:lvlText w:val="%1"/>
      <w:numFmt w:val="lowerLetter"/>
      <w:start w:val="1"/>
    </w:lvl>
  </w:abstractNum>
  <w:abstractNum w:abstractNumId="9">
    <w:nsid w:val="1190CDE7"/>
    <w:multiLevelType w:val="hybridMultilevel"/>
    <w:lvl w:ilvl="0">
      <w:lvlJc w:val="left"/>
      <w:lvlText w:val="%1)"/>
      <w:numFmt w:val="decimal"/>
      <w:start w:val="473"/>
    </w:lvl>
  </w:abstractNum>
  <w:abstractNum w:abstractNumId="10">
    <w:nsid w:val="66EF438D"/>
    <w:multiLevelType w:val="hybridMultilevel"/>
    <w:lvl w:ilvl="0">
      <w:lvlJc w:val="left"/>
      <w:lvlText w:val="%1)"/>
      <w:numFmt w:val="decimal"/>
      <w:start w:val="17"/>
    </w:lvl>
  </w:abstractNum>
  <w:abstractNum w:abstractNumId="11">
    <w:nsid w:val="140E0F76"/>
    <w:multiLevelType w:val="hybridMultilevel"/>
    <w:lvl w:ilvl="0">
      <w:lvlJc w:val="left"/>
      <w:lvlText w:val="%1)"/>
      <w:numFmt w:val="decimal"/>
      <w:start w:val="18"/>
    </w:lvl>
  </w:abstractNum>
  <w:abstractNum w:abstractNumId="12">
    <w:nsid w:val="3352255A"/>
    <w:multiLevelType w:val="hybridMultilevel"/>
    <w:lvl w:ilvl="0">
      <w:lvlJc w:val="left"/>
      <w:lvlText w:val="%1)"/>
      <w:numFmt w:val="decimal"/>
      <w:start w:val="2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2020-07-07T19:37:24Z</dcterms:created>
  <dcterms:modified xsi:type="dcterms:W3CDTF">2020-07-07T19:37:24Z</dcterms:modified>
</cp:coreProperties>
</file>