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Katholische Hochschule Mainz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2007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ZUMA Nachrichten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Yiqing Luo, Zuming Liu, Sucai Luo, Xigang Yuan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Thermodynamic analysis of non-isothermal mixings influence on the energy target of water-using networks.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