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Hochschule Mannheim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2010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Applied Economics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Rodolfo G. Dondo, Jaime Cerdaacute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A hybrid local improvement algorithm for large-scale multi-depot vehicle routing problems with time windows.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