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4/2008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 multi-thread parallel computation method for dynamic simulation of molecular weight distribution of multisite polymerization.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Jinzu Weng, Xi Chen, Lorenz T. Biegler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IST-Hochschule für Management (Düsseldorf)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jinzu_weng@isthochschu.de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Luebecker Strasse 62, 93129, Burglengenfeld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https://doi.org/10.1080/00036840600690249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