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What Makes Geeks Tick? A Study of Stack Overflow Careers.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Lei Xu, Tingting Nian, Luiacutes Cabral</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'in den letzten zwei jahren sind die zahlen der übersiedler aus der ehemaligen ddr und der deutschstämmigen aussiedler aus osteuropa, die in die bundesrepublik zugewandert sind, sprunghaft angestiegen. im juristischen sinne unterscheidet sich ihre situation ganz erheblich von der rechtsposition der ausländischen arbeitnehmer und deren familienangehörigen aus den ehemaligen anwerbeländern, die größtenteils schon lange in deutschland leben, sowie der asylsuchenden aus den verschiedensten ländern. in soziologischer hinsicht besitzen die genannten gruppen eine grundlegende gemeinsamkeit: sie sind fremde in einer gesellschaft, die ihnen erhebliche anpassungsleistungen abverlangt und deren bevölkerung ihnen nicht nur unvoreingenommen, sondern zum teil auch kritisch, mit ängsten und vorurteilen behaftet, entgegentritt.'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1/2009,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