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2000</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https://doi.org/10.1177/1474474008094826</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Research Note - Customer Loyalty Programs: Are They Profitable?</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Siddharth S. Singh, Dipak C. Jain, Trichy V. Krishnan</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"Gestik ist ein Teil der menschlichen Kommunikation. Wir setzen Gestik ein, um wort- und geräuschlos</w:t>
        <w:br/>
        <w:t>Signale auszusenden oder um sprachergänzend miteinander zu kommunizieren. Oftmals sind wir uns unserer Körpersprache jedoch nicht bewußt und üben gestisches Verhalten im Verständigungsprozeß automatisch aus. Inwieweit Gestik für die Interaktion mit Computern genutzt werden kann, ist bisher nur wenig erforscht, auch fehlt es an zuverlässigen, universellen Verfahren, mit denen menschliche Gesten vom Rechner erkannt und analysiert werden können. In diesem Artikel wird ein auf statistischen Methoden basierender Klassifizierer für Gesten vorgestellt." [Textauszug]</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