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040C" w:rsidRDefault="009E040C">
      <w:pPr>
        <w:spacing w:line="200" w:lineRule="exact"/>
        <w:rPr>
          <w:rFonts w:ascii="Times New Roman" w:eastAsia="Times New Roman" w:hAnsi="Times New Roman"/>
          <w:sz w:val="24"/>
        </w:rPr>
      </w:pPr>
    </w:p>
    <w:tbl>
      <w:tblPr>
        <w:tblStyle w:val="TableGrid"/>
        <w:tblW w:w="0" w:type="auto"/>
        <w:tblInd w:w="108" w:type="dxa"/>
        <w:tblLook w:val="04A0"/>
      </w:tblPr>
      <w:tblGrid>
        <w:gridCol w:w="3780"/>
        <w:gridCol w:w="1890"/>
        <w:gridCol w:w="750"/>
      </w:tblGrid>
      <w:tr w:rsidR="006E56D0" w:rsidTr="007F6D9C">
        <w:trPr>
          <w:trHeight w:val="285"/>
        </w:trPr>
        <w:tc>
          <w:tcPr>
            <w:tcW w:w="5670" w:type="dxa"/>
            <w:gridSpan w:val="2"/>
            <w:tcBorders>
              <w:top w:val="nil"/>
              <w:left w:val="nil"/>
              <w:bottom w:val="single" w:sz="4" w:space="0" w:color="auto"/>
              <w:right w:val="nil"/>
            </w:tcBorders>
          </w:tcPr>
          <w:p w:rsidR="009A0933" w:rsidRDefault="009A0933">
            <w:pPr>
              <w:spacing w:line="200" w:lineRule="exact"/>
              <w:rPr>
                <w:rFonts w:ascii="Arial" w:eastAsia="Arial" w:hAnsi="Arial"/>
                <w:sz w:val="18"/>
                <w:lang w:val="de-DE"/>
              </w:rPr>
            </w:pPr>
          </w:p>
          <w:p w:rsidR="006E56D0" w:rsidRPr="009E5E91" w:rsidRDefault="009E5E91">
            <w:pPr>
              <w:spacing w:line="200" w:lineRule="exact"/>
              <w:rPr>
                <w:rFonts w:ascii="Times New Roman" w:eastAsia="Times New Roman" w:hAnsi="Times New Roman"/>
                <w:sz w:val="24"/>
                <w:lang w:val="de-DE"/>
              </w:rPr>
            </w:pPr>
            <w:r w:rsidRPr="00654F1F">
              <w:rPr>
                <w:rFonts w:ascii="Arial" w:eastAsia="Arial" w:hAnsi="Arial"/>
                <w:sz w:val="18"/>
                <w:lang w:val="de-DE"/>
              </w:rPr>
              <w:t>ZUMA Nachrichten · 2005, Jg. 3, Heft 2, S. 137-166</w:t>
            </w:r>
          </w:p>
        </w:tc>
        <w:tc>
          <w:tcPr>
            <w:tcW w:w="750" w:type="dxa"/>
            <w:tcBorders>
              <w:top w:val="nil"/>
              <w:left w:val="nil"/>
              <w:bottom w:val="single" w:sz="4" w:space="0" w:color="auto"/>
              <w:right w:val="nil"/>
            </w:tcBorders>
          </w:tcPr>
          <w:p w:rsidR="009A0933" w:rsidRPr="007F6D9C" w:rsidRDefault="009A0933">
            <w:pPr>
              <w:spacing w:line="200" w:lineRule="exact"/>
              <w:rPr>
                <w:rFonts w:ascii="Arial" w:hAnsi="Arial"/>
                <w:w w:val="89"/>
                <w:sz w:val="18"/>
                <w:szCs w:val="18"/>
                <w:lang w:val="de-DE"/>
              </w:rPr>
            </w:pPr>
          </w:p>
          <w:p w:rsidR="006E56D0" w:rsidRDefault="009E5E91">
            <w:pPr>
              <w:spacing w:line="200" w:lineRule="exact"/>
              <w:rPr>
                <w:rFonts w:ascii="Times New Roman" w:eastAsia="Times New Roman" w:hAnsi="Times New Roman"/>
                <w:sz w:val="24"/>
              </w:rPr>
            </w:pPr>
            <w:r w:rsidRPr="00274878">
              <w:rPr>
                <w:rFonts w:ascii="Arial" w:hAnsi="Arial"/>
                <w:w w:val="89"/>
                <w:sz w:val="18"/>
                <w:szCs w:val="18"/>
              </w:rPr>
              <w:t>137</w:t>
            </w:r>
          </w:p>
        </w:tc>
      </w:tr>
      <w:tr w:rsidR="006E56D0" w:rsidTr="007F6D9C">
        <w:tc>
          <w:tcPr>
            <w:tcW w:w="3780" w:type="dxa"/>
            <w:tcBorders>
              <w:top w:val="single" w:sz="4" w:space="0" w:color="auto"/>
              <w:left w:val="nil"/>
              <w:bottom w:val="nil"/>
              <w:right w:val="nil"/>
            </w:tcBorders>
          </w:tcPr>
          <w:p w:rsidR="007F6D9C" w:rsidRDefault="007F6D9C" w:rsidP="009E5E91">
            <w:pPr>
              <w:pStyle w:val="NoSpacing"/>
              <w:rPr>
                <w:rFonts w:ascii="Arial" w:hAnsi="Arial"/>
                <w:b/>
                <w:sz w:val="36"/>
                <w:szCs w:val="36"/>
                <w:lang w:val="de-DE"/>
              </w:rPr>
            </w:pPr>
          </w:p>
          <w:p w:rsidR="006E56D0" w:rsidRPr="009A0933" w:rsidRDefault="009A0933" w:rsidP="009E5E91">
            <w:pPr>
              <w:pStyle w:val="NoSpacing"/>
              <w:rPr>
                <w:rFonts w:ascii="Arial" w:hAnsi="Arial"/>
                <w:b/>
                <w:sz w:val="36"/>
                <w:szCs w:val="36"/>
                <w:lang w:val="de-DE"/>
              </w:rPr>
            </w:pPr>
            <w:r w:rsidRPr="009A0933">
              <w:rPr>
                <w:rFonts w:ascii="Arial" w:hAnsi="Arial"/>
                <w:b/>
                <w:sz w:val="36"/>
                <w:szCs w:val="36"/>
                <w:lang w:val="de-DE"/>
              </w:rPr>
              <w:t>MetaObject Protocol Concepts for a RISC Object Model.</w:t>
            </w:r>
          </w:p>
        </w:tc>
        <w:tc>
          <w:tcPr>
            <w:tcW w:w="2640" w:type="dxa"/>
            <w:gridSpan w:val="2"/>
            <w:tcBorders>
              <w:top w:val="single" w:sz="4" w:space="0" w:color="auto"/>
              <w:left w:val="nil"/>
              <w:bottom w:val="nil"/>
              <w:right w:val="nil"/>
            </w:tcBorders>
          </w:tcPr>
          <w:p w:rsidR="006E56D0" w:rsidRPr="009E5E91" w:rsidRDefault="009E5E91" w:rsidP="009E5E91">
            <w:pPr>
              <w:pStyle w:val="Heading1"/>
              <w:rPr>
                <w:rFonts w:ascii="Arial" w:eastAsia="Times New Roman" w:hAnsi="Arial" w:cs="Arial"/>
                <w:sz w:val="36"/>
                <w:szCs w:val="36"/>
              </w:rPr>
            </w:pPr>
            <w:r w:rsidRPr="009A0933">
              <w:rPr>
                <w:rFonts w:ascii="Arial" w:eastAsia="Arial" w:hAnsi="Arial" w:cs="Arial"/>
                <w:b w:val="0"/>
                <w:bCs w:val="0"/>
                <w:color w:val="4C4C4C"/>
                <w:w w:val="87"/>
                <w:sz w:val="36"/>
                <w:szCs w:val="20"/>
              </w:rPr>
              <w:t xml:space="preserve">The Effect of Survey Methods on the </w:t>
            </w:r>
            <w:proofErr w:type="spellStart"/>
            <w:r w:rsidRPr="009A0933">
              <w:rPr>
                <w:rFonts w:ascii="Arial" w:eastAsia="Arial" w:hAnsi="Arial" w:cs="Arial"/>
                <w:b w:val="0"/>
                <w:bCs w:val="0"/>
                <w:color w:val="4C4C4C"/>
                <w:w w:val="87"/>
                <w:sz w:val="36"/>
                <w:szCs w:val="20"/>
              </w:rPr>
              <w:t>Postmaterialism</w:t>
            </w:r>
            <w:proofErr w:type="spellEnd"/>
            <w:r w:rsidRPr="009A0933">
              <w:rPr>
                <w:rFonts w:ascii="Arial" w:eastAsia="Arial" w:hAnsi="Arial" w:cs="Arial"/>
                <w:b w:val="0"/>
                <w:bCs w:val="0"/>
                <w:color w:val="4C4C4C"/>
                <w:w w:val="87"/>
                <w:sz w:val="36"/>
                <w:szCs w:val="20"/>
              </w:rPr>
              <w:t xml:space="preserve"> Index</w:t>
            </w:r>
          </w:p>
        </w:tc>
      </w:tr>
    </w:tbl>
    <w:p w:rsidR="003C3D49" w:rsidRDefault="003C3D49">
      <w:pPr>
        <w:spacing w:line="200" w:lineRule="exact"/>
        <w:rPr>
          <w:rFonts w:ascii="Times New Roman" w:eastAsia="Times New Roman" w:hAnsi="Times New Roman"/>
          <w:sz w:val="24"/>
        </w:rPr>
      </w:pPr>
    </w:p>
    <w:p w:rsidR="003C3D49" w:rsidRDefault="003C3D49">
      <w:pPr>
        <w:spacing w:line="200" w:lineRule="exact"/>
        <w:rPr>
          <w:rFonts w:ascii="Times New Roman" w:eastAsia="Times New Roman" w:hAnsi="Times New Roman"/>
          <w:sz w:val="24"/>
        </w:rPr>
      </w:pPr>
    </w:p>
    <w:p w:rsidR="003C3D49" w:rsidRPr="00F073D2" w:rsidRDefault="00F073D2">
      <w:pPr>
        <w:spacing w:line="200" w:lineRule="exact"/>
        <w:rPr>
          <w:rFonts w:ascii="Times New Roman" w:eastAsia="Times New Roman" w:hAnsi="Times New Roman"/>
          <w:sz w:val="24"/>
          <w:lang w:val="de-DE"/>
        </w:rPr>
      </w:pPr>
      <w:r>
        <w:rPr>
          <w:rFonts w:ascii="Times New Roman" w:eastAsia="Times New Roman" w:hAnsi="Times New Roman"/>
          <w:sz w:val="24"/>
        </w:rPr>
        <w:pict>
          <v:rect id="_x0000_s1026" style="position:absolute;margin-left:-.25pt;margin-top:6.9pt;width:328.75pt;height:66.8pt;z-index:-251658752" o:userdrawn="t" fillcolor="#e6e6e6" strokecolor="none"/>
        </w:pict>
      </w:r>
    </w:p>
    <w:p w:rsidR="003C3D49" w:rsidRPr="00F073D2" w:rsidRDefault="003C3D49">
      <w:pPr>
        <w:spacing w:line="200" w:lineRule="exact"/>
        <w:rPr>
          <w:rFonts w:ascii="Times New Roman" w:eastAsia="Times New Roman" w:hAnsi="Times New Roman"/>
          <w:sz w:val="24"/>
          <w:lang w:val="de-DE"/>
        </w:rPr>
      </w:pPr>
    </w:p>
    <w:p w:rsidR="000152A0" w:rsidRPr="00F073D2" w:rsidRDefault="000152A0">
      <w:pPr>
        <w:spacing w:line="241" w:lineRule="exact"/>
        <w:rPr>
          <w:rFonts w:ascii="Times New Roman" w:eastAsia="Times New Roman" w:hAnsi="Times New Roman"/>
          <w:sz w:val="24"/>
          <w:lang w:val="de-DE"/>
        </w:rPr>
      </w:pPr>
    </w:p>
    <w:p w:rsidR="000152A0" w:rsidRPr="009E040C" w:rsidRDefault="0071126A">
      <w:pPr>
        <w:spacing w:line="0" w:lineRule="atLeast"/>
        <w:ind w:right="60"/>
        <w:jc w:val="center"/>
        <w:rPr>
          <w:rFonts w:ascii="Arial" w:eastAsia="Arial" w:hAnsi="Arial"/>
          <w:i/>
          <w:sz w:val="28"/>
          <w:lang w:val="de-DE"/>
        </w:rPr>
      </w:pPr>
      <w:r w:rsidRPr="009E040C">
        <w:rPr>
          <w:rFonts w:ascii="Arial" w:eastAsia="Arial" w:hAnsi="Arial"/>
          <w:i/>
          <w:sz w:val="28"/>
          <w:lang w:val="de-DE"/>
        </w:rPr>
        <w:t>Frank Manola</w:t>
      </w:r>
    </w:p>
    <w:p w:rsidR="000152A0" w:rsidRPr="009E040C" w:rsidRDefault="000152A0">
      <w:pPr>
        <w:spacing w:line="0" w:lineRule="atLeast"/>
        <w:ind w:right="60"/>
        <w:jc w:val="center"/>
        <w:rPr>
          <w:rFonts w:ascii="Arial" w:eastAsia="Arial" w:hAnsi="Arial"/>
          <w:i/>
          <w:sz w:val="28"/>
          <w:lang w:val="de-DE"/>
        </w:rPr>
        <w:sectPr w:rsidR="000152A0" w:rsidRPr="009E040C">
          <w:pgSz w:w="8840" w:h="13153"/>
          <w:pgMar w:top="740" w:right="1084" w:bottom="1440" w:left="1140" w:header="0" w:footer="0" w:gutter="0"/>
          <w:cols w:space="0" w:equalWidth="0">
            <w:col w:w="6620"/>
          </w:cols>
          <w:docGrid w:linePitch="360"/>
        </w:sect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00" w:lineRule="exact"/>
        <w:rPr>
          <w:rFonts w:ascii="Times New Roman" w:eastAsia="Times New Roman" w:hAnsi="Times New Roman"/>
          <w:sz w:val="24"/>
          <w:lang w:val="de-DE"/>
        </w:rPr>
      </w:pPr>
    </w:p>
    <w:p w:rsidR="000152A0" w:rsidRPr="009E040C" w:rsidRDefault="000152A0">
      <w:pPr>
        <w:spacing w:line="252" w:lineRule="exact"/>
        <w:rPr>
          <w:rFonts w:ascii="Times New Roman" w:eastAsia="Times New Roman" w:hAnsi="Times New Roman"/>
          <w:sz w:val="24"/>
          <w:lang w:val="de-DE"/>
        </w:rPr>
      </w:pPr>
    </w:p>
    <w:p w:rsidR="000152A0" w:rsidRPr="009E040C" w:rsidRDefault="0071126A">
      <w:pPr>
        <w:spacing w:line="0" w:lineRule="atLeast"/>
        <w:rPr>
          <w:rFonts w:ascii="Arial" w:eastAsia="Arial" w:hAnsi="Arial"/>
          <w:i/>
          <w:sz w:val="18"/>
          <w:lang w:val="de-DE"/>
        </w:rPr>
      </w:pPr>
      <w:r w:rsidRPr="009E040C">
        <w:rPr>
          <w:rFonts w:ascii="Arial" w:eastAsia="Arial" w:hAnsi="Arial"/>
          <w:i/>
          <w:sz w:val="18"/>
          <w:lang w:val="de-DE"/>
        </w:rPr>
        <w:t>Zusammenfassung</w:t>
      </w:r>
    </w:p>
    <w:p w:rsidR="000152A0" w:rsidRPr="009E040C" w:rsidRDefault="000152A0">
      <w:pPr>
        <w:spacing w:line="16" w:lineRule="exact"/>
        <w:rPr>
          <w:rFonts w:ascii="Times New Roman" w:eastAsia="Times New Roman" w:hAnsi="Times New Roman"/>
          <w:sz w:val="24"/>
          <w:lang w:val="de-DE"/>
        </w:rPr>
      </w:pPr>
    </w:p>
    <w:p w:rsidR="000152A0" w:rsidRPr="00654F1F" w:rsidRDefault="0071126A">
      <w:pPr>
        <w:spacing w:line="310" w:lineRule="auto"/>
        <w:jc w:val="both"/>
        <w:rPr>
          <w:rFonts w:ascii="Arial" w:eastAsia="Arial" w:hAnsi="Arial"/>
          <w:sz w:val="15"/>
          <w:lang w:val="de-DE"/>
        </w:rPr>
      </w:pPr>
      <w:r w:rsidRPr="00654F1F">
        <w:rPr>
          <w:rFonts w:ascii="Arial" w:eastAsia="Arial" w:hAnsi="Arial"/>
          <w:sz w:val="15"/>
          <w:lang w:val="de-DE"/>
        </w:rPr>
      </w:r>
      <w:r w:rsidR="00F073D2">
        <w:rPr>
          <w:rFonts w:ascii="Arial" w:eastAsia="Arial" w:hAnsi="Arial"/>
          <w:sz w:val="15"/>
          <w:lang w:val="de-DE"/>
        </w:rPr>
        <w:t xml:space="preserve">Die Studie präsentiert die Ergebnisse einer Befragung unter den Mitarbeiterinnen und Mitarbeitern an Lehrstühlen der Soziologie über Produkte und Dienstleistungen der GESIS, die sich folgendermaßen zusammenfassen lassen. Die Nutzung der Angebote des Informationszentrums Sozialwissenschaften (IZ) wächst mit dem Bekanntheitsgrad. Da der Anteil der Uninformierten und Nichtnutzer mit wachsendem Dienstalter kontinuierlich abnimmt, wird davon ausgegangen, dass mit der fortschreitenden wissenschaftlichen Sozialisation die Produkte und Dienstleistungen des IZ zunehmend wertgeschätzt und nachgefragt werden. Ausgehend von den Nutzungspräferenzen des Mittelbaus (Bibliotheken und vor allem das Internet) sollen spezielle Angebote und Hinweise für diese Zielgruppe in den Produktpräsentationen eingefügt </w:t>
      </w:r>
    </w:p>
    <w:p w:rsidR="000152A0" w:rsidRPr="00654F1F" w:rsidRDefault="0071126A">
      <w:pPr>
        <w:spacing w:line="200" w:lineRule="exact"/>
        <w:rPr>
          <w:rFonts w:ascii="Times New Roman" w:eastAsia="Times New Roman" w:hAnsi="Times New Roman"/>
          <w:sz w:val="24"/>
          <w:lang w:val="de-DE"/>
        </w:rPr>
      </w:pPr>
      <w:r w:rsidRPr="00654F1F">
        <w:rPr>
          <w:rFonts w:ascii="Arial" w:eastAsia="Arial" w:hAnsi="Arial"/>
          <w:sz w:val="15"/>
          <w:lang w:val="de-DE"/>
        </w:rPr>
        <w:br w:type="column"/>
      </w: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00" w:lineRule="exact"/>
        <w:rPr>
          <w:rFonts w:ascii="Times New Roman" w:eastAsia="Times New Roman" w:hAnsi="Times New Roman"/>
          <w:sz w:val="24"/>
          <w:lang w:val="de-DE"/>
        </w:rPr>
      </w:pPr>
    </w:p>
    <w:p w:rsidR="000152A0" w:rsidRPr="00654F1F" w:rsidRDefault="000152A0">
      <w:pPr>
        <w:spacing w:line="251" w:lineRule="exact"/>
        <w:rPr>
          <w:rFonts w:ascii="Times New Roman" w:eastAsia="Times New Roman" w:hAnsi="Times New Roman"/>
          <w:sz w:val="24"/>
          <w:lang w:val="de-DE"/>
        </w:rPr>
      </w:pPr>
    </w:p>
    <w:p w:rsidR="000152A0" w:rsidRDefault="0071126A">
      <w:pPr>
        <w:spacing w:line="0" w:lineRule="atLeast"/>
        <w:rPr>
          <w:rFonts w:ascii="Arial" w:eastAsia="Arial" w:hAnsi="Arial"/>
          <w:i/>
          <w:color w:val="4C4C4C"/>
          <w:sz w:val="18"/>
        </w:rPr>
      </w:pPr>
      <w:r>
        <w:rPr>
          <w:rFonts w:ascii="Arial" w:eastAsia="Arial" w:hAnsi="Arial"/>
          <w:i/>
          <w:color w:val="4C4C4C"/>
          <w:sz w:val="18"/>
        </w:rPr>
        <w:t>Abstract</w:t>
      </w:r>
    </w:p>
    <w:p w:rsidR="000152A0" w:rsidRDefault="000152A0">
      <w:pPr>
        <w:spacing w:line="16" w:lineRule="exact"/>
        <w:rPr>
          <w:rFonts w:ascii="Times New Roman" w:eastAsia="Times New Roman" w:hAnsi="Times New Roman"/>
          <w:sz w:val="24"/>
        </w:rPr>
      </w:pPr>
    </w:p>
    <w:p w:rsidR="0071126A" w:rsidRDefault="0071126A">
      <w:pPr>
        <w:spacing w:line="271" w:lineRule="auto"/>
        <w:ind w:right="40"/>
        <w:jc w:val="both"/>
        <w:rPr>
          <w:rFonts w:ascii="Arial" w:eastAsia="Arial" w:hAnsi="Arial"/>
          <w:color w:val="4C4C4C"/>
          <w:sz w:val="17"/>
        </w:rPr>
      </w:pPr>
      <w:r>
        <w:rPr>
          <w:rFonts w:ascii="Arial" w:eastAsia="Arial" w:hAnsi="Arial"/>
          <w:color w:val="4C4C4C"/>
          <w:sz w:val="17"/>
        </w:rPr>
      </w:r>
      <w:r w:rsidR="00F073D2">
        <w:rPr>
          <w:rFonts w:ascii="Arial" w:eastAsia="Arial" w:hAnsi="Arial"/>
          <w:color w:val="4C4C4C"/>
          <w:sz w:val="17"/>
        </w:rPr>
        <w:t>'researchers an educational inequality dispute whether the development of the educational system and the different educational reforms that have taken place in germany since the 60s have led to a reduction of the effects of social background an educational participation. the empirical analyses of this question are based an large samples of official microdata an participation of education for 14 to 18-yearold youths. the second question this paper deals with is whether the sequential logit model that was suggested for the analysis of educational inequality in the usa can also be used for the analysis of the educational inequality in the german tripartite educational system. during the discussion of this previously unconsidered issue, fit was discovered that the statistical and decision-theo</w:t>
      </w:r>
    </w:p>
    <w:sectPr w:rsidR="0071126A" w:rsidSect="000152A0">
      <w:type w:val="continuous"/>
      <w:pgSz w:w="8840" w:h="13153"/>
      <w:pgMar w:top="740" w:right="1084" w:bottom="1440" w:left="1140" w:header="0" w:footer="0" w:gutter="0"/>
      <w:cols w:num="2" w:space="0" w:equalWidth="0">
        <w:col w:w="3160" w:space="240"/>
        <w:col w:w="32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2F5B"/>
    <w:rsid w:val="00012F5B"/>
    <w:rsid w:val="000152A0"/>
    <w:rsid w:val="00274878"/>
    <w:rsid w:val="003C3D49"/>
    <w:rsid w:val="003E4D2B"/>
    <w:rsid w:val="00654F1F"/>
    <w:rsid w:val="006E56D0"/>
    <w:rsid w:val="0071126A"/>
    <w:rsid w:val="0073001B"/>
    <w:rsid w:val="007F6D9C"/>
    <w:rsid w:val="008329EC"/>
    <w:rsid w:val="009A0933"/>
    <w:rsid w:val="009E040C"/>
    <w:rsid w:val="009E5E91"/>
    <w:rsid w:val="00A569F8"/>
    <w:rsid w:val="00D87CDE"/>
    <w:rsid w:val="00F073D2"/>
    <w:rsid w:val="00F47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A0"/>
  </w:style>
  <w:style w:type="paragraph" w:styleId="Heading1">
    <w:name w:val="heading 1"/>
    <w:basedOn w:val="Normal"/>
    <w:next w:val="Normal"/>
    <w:link w:val="Heading1Char"/>
    <w:uiPriority w:val="9"/>
    <w:qFormat/>
    <w:rsid w:val="00A569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69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569F8"/>
  </w:style>
  <w:style w:type="character" w:customStyle="1" w:styleId="Heading1Char">
    <w:name w:val="Heading 1 Char"/>
    <w:basedOn w:val="DefaultParagraphFont"/>
    <w:link w:val="Heading1"/>
    <w:uiPriority w:val="9"/>
    <w:rsid w:val="00A56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69F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16</cp:revision>
  <dcterms:created xsi:type="dcterms:W3CDTF">2020-07-26T16:43:00Z</dcterms:created>
  <dcterms:modified xsi:type="dcterms:W3CDTF">2020-07-26T23:37:00Z</dcterms:modified>
</cp:coreProperties>
</file>