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040C" w:rsidRDefault="009E040C">
      <w:pPr>
        <w:spacing w:line="200" w:lineRule="exact"/>
        <w:rPr>
          <w:rFonts w:ascii="Times New Roman" w:eastAsia="Times New Roman" w:hAnsi="Times New Roman"/>
          <w:sz w:val="24"/>
        </w:rPr>
      </w:pPr>
    </w:p>
    <w:tbl>
      <w:tblPr>
        <w:tblStyle w:val="TableGrid"/>
        <w:tblW w:w="0" w:type="auto"/>
        <w:tblInd w:w="108" w:type="dxa"/>
        <w:tblLook w:val="04A0"/>
      </w:tblPr>
      <w:tblGrid>
        <w:gridCol w:w="3780"/>
        <w:gridCol w:w="1890"/>
        <w:gridCol w:w="750"/>
      </w:tblGrid>
      <w:tr w:rsidR="006E56D0" w:rsidTr="007F6D9C">
        <w:trPr>
          <w:trHeight w:val="285"/>
        </w:trPr>
        <w:tc>
          <w:tcPr>
            <w:tcW w:w="5670" w:type="dxa"/>
            <w:gridSpan w:val="2"/>
            <w:tcBorders>
              <w:top w:val="nil"/>
              <w:left w:val="nil"/>
              <w:bottom w:val="single" w:sz="4" w:space="0" w:color="auto"/>
              <w:right w:val="nil"/>
            </w:tcBorders>
          </w:tcPr>
          <w:p w:rsidR="009A0933" w:rsidRDefault="009A0933">
            <w:pPr>
              <w:spacing w:line="200" w:lineRule="exact"/>
              <w:rPr>
                <w:rFonts w:ascii="Arial" w:eastAsia="Arial" w:hAnsi="Arial"/>
                <w:sz w:val="18"/>
                <w:lang w:val="de-DE"/>
              </w:rPr>
            </w:pPr>
          </w:p>
          <w:p w:rsidR="006E56D0" w:rsidRPr="009E5E91" w:rsidRDefault="009E5E91">
            <w:pPr>
              <w:spacing w:line="200" w:lineRule="exact"/>
              <w:rPr>
                <w:rFonts w:ascii="Times New Roman" w:eastAsia="Times New Roman" w:hAnsi="Times New Roman"/>
                <w:sz w:val="24"/>
                <w:lang w:val="de-DE"/>
              </w:rPr>
            </w:pPr>
            <w:r w:rsidRPr="00654F1F">
              <w:rPr>
                <w:rFonts w:ascii="Arial" w:eastAsia="Arial" w:hAnsi="Arial"/>
                <w:sz w:val="18"/>
                <w:lang w:val="de-DE"/>
              </w:rPr>
              <w:t>ZUMA Nachrichten · 1997, Jg. 3, Heft 2, S. 137-166</w:t>
            </w:r>
          </w:p>
        </w:tc>
        <w:tc>
          <w:tcPr>
            <w:tcW w:w="750" w:type="dxa"/>
            <w:tcBorders>
              <w:top w:val="nil"/>
              <w:left w:val="nil"/>
              <w:bottom w:val="single" w:sz="4" w:space="0" w:color="auto"/>
              <w:right w:val="nil"/>
            </w:tcBorders>
          </w:tcPr>
          <w:p w:rsidR="009A0933" w:rsidRPr="007F6D9C" w:rsidRDefault="009A0933">
            <w:pPr>
              <w:spacing w:line="200" w:lineRule="exact"/>
              <w:rPr>
                <w:rFonts w:ascii="Arial" w:hAnsi="Arial"/>
                <w:w w:val="89"/>
                <w:sz w:val="18"/>
                <w:szCs w:val="18"/>
                <w:lang w:val="de-DE"/>
              </w:rPr>
            </w:pPr>
          </w:p>
          <w:p w:rsidR="006E56D0" w:rsidRDefault="009E5E91">
            <w:pPr>
              <w:spacing w:line="200" w:lineRule="exact"/>
              <w:rPr>
                <w:rFonts w:ascii="Times New Roman" w:eastAsia="Times New Roman" w:hAnsi="Times New Roman"/>
                <w:sz w:val="24"/>
              </w:rPr>
            </w:pPr>
            <w:r w:rsidRPr="00274878">
              <w:rPr>
                <w:rFonts w:ascii="Arial" w:hAnsi="Arial"/>
                <w:w w:val="89"/>
                <w:sz w:val="18"/>
                <w:szCs w:val="18"/>
              </w:rPr>
              <w:t>137</w:t>
            </w:r>
          </w:p>
        </w:tc>
      </w:tr>
      <w:tr w:rsidR="006E56D0" w:rsidTr="007F6D9C">
        <w:tc>
          <w:tcPr>
            <w:tcW w:w="3780" w:type="dxa"/>
            <w:tcBorders>
              <w:top w:val="single" w:sz="4" w:space="0" w:color="auto"/>
              <w:left w:val="nil"/>
              <w:bottom w:val="nil"/>
              <w:right w:val="nil"/>
            </w:tcBorders>
          </w:tcPr>
          <w:p w:rsidR="007F6D9C" w:rsidRDefault="007F6D9C" w:rsidP="009E5E91">
            <w:pPr>
              <w:pStyle w:val="NoSpacing"/>
              <w:rPr>
                <w:rFonts w:ascii="Arial" w:hAnsi="Arial"/>
                <w:b/>
                <w:sz w:val="36"/>
                <w:szCs w:val="36"/>
                <w:lang w:val="de-DE"/>
              </w:rPr>
            </w:pPr>
          </w:p>
          <w:p w:rsidR="006E56D0" w:rsidRPr="009A0933" w:rsidRDefault="009A0933" w:rsidP="009E5E91">
            <w:pPr>
              <w:pStyle w:val="NoSpacing"/>
              <w:rPr>
                <w:rFonts w:ascii="Arial" w:hAnsi="Arial"/>
                <w:b/>
                <w:sz w:val="36"/>
                <w:szCs w:val="36"/>
                <w:lang w:val="de-DE"/>
              </w:rPr>
            </w:pPr>
            <w:r w:rsidRPr="009A0933">
              <w:rPr>
                <w:rFonts w:ascii="Arial" w:hAnsi="Arial"/>
                <w:b/>
                <w:sz w:val="36"/>
                <w:szCs w:val="36"/>
                <w:lang w:val="de-DE"/>
              </w:rPr>
              <w:t>Experiments with Dispatching in a Distributed Object System.</w:t>
            </w:r>
          </w:p>
        </w:tc>
        <w:tc>
          <w:tcPr>
            <w:tcW w:w="2640" w:type="dxa"/>
            <w:gridSpan w:val="2"/>
            <w:tcBorders>
              <w:top w:val="single" w:sz="4" w:space="0" w:color="auto"/>
              <w:left w:val="nil"/>
              <w:bottom w:val="nil"/>
              <w:right w:val="nil"/>
            </w:tcBorders>
          </w:tcPr>
          <w:p w:rsidR="006E56D0" w:rsidRPr="009E5E91" w:rsidRDefault="009E5E91" w:rsidP="009E5E91">
            <w:pPr>
              <w:pStyle w:val="Heading1"/>
              <w:rPr>
                <w:rFonts w:ascii="Arial" w:eastAsia="Times New Roman" w:hAnsi="Arial" w:cs="Arial"/>
                <w:sz w:val="36"/>
                <w:szCs w:val="36"/>
              </w:rPr>
            </w:pPr>
            <w:r w:rsidRPr="009A0933">
              <w:rPr>
                <w:rFonts w:ascii="Arial" w:eastAsia="Arial" w:hAnsi="Arial" w:cs="Arial"/>
                <w:b w:val="0"/>
                <w:bCs w:val="0"/>
                <w:color w:val="4C4C4C"/>
                <w:w w:val="87"/>
                <w:sz w:val="36"/>
                <w:szCs w:val="20"/>
              </w:rPr>
              <w:t xml:space="preserve">The Effect of Survey Methods on the </w:t>
            </w:r>
            <w:proofErr w:type="spellStart"/>
            <w:r w:rsidRPr="009A0933">
              <w:rPr>
                <w:rFonts w:ascii="Arial" w:eastAsia="Arial" w:hAnsi="Arial" w:cs="Arial"/>
                <w:b w:val="0"/>
                <w:bCs w:val="0"/>
                <w:color w:val="4C4C4C"/>
                <w:w w:val="87"/>
                <w:sz w:val="36"/>
                <w:szCs w:val="20"/>
              </w:rPr>
              <w:t>Postmaterialism</w:t>
            </w:r>
            <w:proofErr w:type="spellEnd"/>
            <w:r w:rsidRPr="009A0933">
              <w:rPr>
                <w:rFonts w:ascii="Arial" w:eastAsia="Arial" w:hAnsi="Arial" w:cs="Arial"/>
                <w:b w:val="0"/>
                <w:bCs w:val="0"/>
                <w:color w:val="4C4C4C"/>
                <w:w w:val="87"/>
                <w:sz w:val="36"/>
                <w:szCs w:val="20"/>
              </w:rPr>
              <w:t xml:space="preserve"> Index</w:t>
            </w:r>
          </w:p>
        </w:tc>
      </w:tr>
    </w:tbl>
    <w:p w:rsidR="003C3D49" w:rsidRDefault="003C3D49">
      <w:pPr>
        <w:spacing w:line="200" w:lineRule="exact"/>
        <w:rPr>
          <w:rFonts w:ascii="Times New Roman" w:eastAsia="Times New Roman" w:hAnsi="Times New Roman"/>
          <w:sz w:val="24"/>
        </w:rPr>
      </w:pPr>
    </w:p>
    <w:p w:rsidR="003C3D49" w:rsidRDefault="003C3D49">
      <w:pPr>
        <w:spacing w:line="200" w:lineRule="exact"/>
        <w:rPr>
          <w:rFonts w:ascii="Times New Roman" w:eastAsia="Times New Roman" w:hAnsi="Times New Roman"/>
          <w:sz w:val="24"/>
        </w:rPr>
      </w:pPr>
    </w:p>
    <w:p w:rsidR="003C3D49" w:rsidRPr="00F073D2" w:rsidRDefault="00F073D2">
      <w:pPr>
        <w:spacing w:line="200" w:lineRule="exact"/>
        <w:rPr>
          <w:rFonts w:ascii="Times New Roman" w:eastAsia="Times New Roman" w:hAnsi="Times New Roman"/>
          <w:sz w:val="24"/>
          <w:lang w:val="de-DE"/>
        </w:rPr>
      </w:pPr>
      <w:r>
        <w:rPr>
          <w:rFonts w:ascii="Times New Roman" w:eastAsia="Times New Roman" w:hAnsi="Times New Roman"/>
          <w:sz w:val="24"/>
        </w:rPr>
        <w:pict>
          <v:rect id="_x0000_s1026" style="position:absolute;margin-left:-.25pt;margin-top:6.9pt;width:328.75pt;height:66.8pt;z-index:-251658752" o:userdrawn="t" fillcolor="#e6e6e6" strokecolor="none"/>
        </w:pict>
      </w:r>
    </w:p>
    <w:p w:rsidR="003C3D49" w:rsidRPr="00F073D2" w:rsidRDefault="003C3D49">
      <w:pPr>
        <w:spacing w:line="200" w:lineRule="exact"/>
        <w:rPr>
          <w:rFonts w:ascii="Times New Roman" w:eastAsia="Times New Roman" w:hAnsi="Times New Roman"/>
          <w:sz w:val="24"/>
          <w:lang w:val="de-DE"/>
        </w:rPr>
      </w:pPr>
    </w:p>
    <w:p w:rsidR="000152A0" w:rsidRPr="00F073D2" w:rsidRDefault="000152A0">
      <w:pPr>
        <w:spacing w:line="241" w:lineRule="exact"/>
        <w:rPr>
          <w:rFonts w:ascii="Times New Roman" w:eastAsia="Times New Roman" w:hAnsi="Times New Roman"/>
          <w:sz w:val="24"/>
          <w:lang w:val="de-DE"/>
        </w:rPr>
      </w:pPr>
    </w:p>
    <w:p w:rsidR="000152A0" w:rsidRPr="009E040C" w:rsidRDefault="0071126A">
      <w:pPr>
        <w:spacing w:line="0" w:lineRule="atLeast"/>
        <w:ind w:right="60"/>
        <w:jc w:val="center"/>
        <w:rPr>
          <w:rFonts w:ascii="Arial" w:eastAsia="Arial" w:hAnsi="Arial"/>
          <w:i/>
          <w:sz w:val="28"/>
          <w:lang w:val="de-DE"/>
        </w:rPr>
      </w:pPr>
      <w:r w:rsidRPr="009E040C">
        <w:rPr>
          <w:rFonts w:ascii="Arial" w:eastAsia="Arial" w:hAnsi="Arial"/>
          <w:i/>
          <w:sz w:val="28"/>
          <w:lang w:val="de-DE"/>
        </w:rPr>
        <w:t>Farshad Nayeri, Benjamin Hurwitz</w:t>
      </w:r>
    </w:p>
    <w:p w:rsidR="000152A0" w:rsidRPr="009E040C" w:rsidRDefault="000152A0">
      <w:pPr>
        <w:spacing w:line="0" w:lineRule="atLeast"/>
        <w:ind w:right="60"/>
        <w:jc w:val="center"/>
        <w:rPr>
          <w:rFonts w:ascii="Arial" w:eastAsia="Arial" w:hAnsi="Arial"/>
          <w:i/>
          <w:sz w:val="28"/>
          <w:lang w:val="de-DE"/>
        </w:rPr>
        <w:sectPr w:rsidR="000152A0" w:rsidRPr="009E040C">
          <w:pgSz w:w="8840" w:h="13153"/>
          <w:pgMar w:top="740" w:right="1084" w:bottom="1440" w:left="1140" w:header="0" w:footer="0" w:gutter="0"/>
          <w:cols w:space="0" w:equalWidth="0">
            <w:col w:w="6620"/>
          </w:cols>
          <w:docGrid w:linePitch="360"/>
        </w:sect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52" w:lineRule="exact"/>
        <w:rPr>
          <w:rFonts w:ascii="Times New Roman" w:eastAsia="Times New Roman" w:hAnsi="Times New Roman"/>
          <w:sz w:val="24"/>
          <w:lang w:val="de-DE"/>
        </w:rPr>
      </w:pPr>
    </w:p>
    <w:p w:rsidR="000152A0" w:rsidRPr="009E040C" w:rsidRDefault="0071126A">
      <w:pPr>
        <w:spacing w:line="0" w:lineRule="atLeast"/>
        <w:rPr>
          <w:rFonts w:ascii="Arial" w:eastAsia="Arial" w:hAnsi="Arial"/>
          <w:i/>
          <w:sz w:val="18"/>
          <w:lang w:val="de-DE"/>
        </w:rPr>
      </w:pPr>
      <w:r w:rsidRPr="009E040C">
        <w:rPr>
          <w:rFonts w:ascii="Arial" w:eastAsia="Arial" w:hAnsi="Arial"/>
          <w:i/>
          <w:sz w:val="18"/>
          <w:lang w:val="de-DE"/>
        </w:rPr>
        <w:t>Zusammenfassung</w:t>
      </w:r>
    </w:p>
    <w:p w:rsidR="000152A0" w:rsidRPr="009E040C" w:rsidRDefault="000152A0">
      <w:pPr>
        <w:spacing w:line="16" w:lineRule="exact"/>
        <w:rPr>
          <w:rFonts w:ascii="Times New Roman" w:eastAsia="Times New Roman" w:hAnsi="Times New Roman"/>
          <w:sz w:val="24"/>
          <w:lang w:val="de-DE"/>
        </w:rPr>
      </w:pPr>
    </w:p>
    <w:p w:rsidR="000152A0" w:rsidRPr="00654F1F" w:rsidRDefault="0071126A">
      <w:pPr>
        <w:spacing w:line="310" w:lineRule="auto"/>
        <w:jc w:val="both"/>
        <w:rPr>
          <w:rFonts w:ascii="Arial" w:eastAsia="Arial" w:hAnsi="Arial"/>
          <w:sz w:val="15"/>
          <w:lang w:val="de-DE"/>
        </w:rPr>
      </w:pPr>
      <w:r w:rsidRPr="00654F1F">
        <w:rPr>
          <w:rFonts w:ascii="Arial" w:eastAsia="Arial" w:hAnsi="Arial"/>
          <w:sz w:val="15"/>
          <w:lang w:val="de-DE"/>
        </w:rPr>
      </w:r>
      <w:r w:rsidR="00F073D2">
        <w:rPr>
          <w:rFonts w:ascii="Arial" w:eastAsia="Arial" w:hAnsi="Arial"/>
          <w:sz w:val="15"/>
          <w:lang w:val="de-DE"/>
        </w:rPr>
        <w:t>Die vorliegende Untersuchung basiert auf einer Befragung von insgesamt 12503 Personen in Österreich, Westdeutschland, Irland, Italien, den Niederlanden, Norwegen, Ostdeutschland, Ungarn, Polen und Slowenien. Gefragt wurde nach Religionszugehörigkeit, religiösen Überzeugungen, Religiosität und Wertorientierung. Die Untersuchung zeigt, daß religiöse Überzeugungen im Osten weniger verbreitet sind als im Westen. Protestantisch geprägte Gesellschaften sind anfälliger gegen Säkularisierungstendenzen als katholische Gesellschaften. Sogar bei Kirchenmitgliedern ist der Einfluß religiöser Überzeugungen auf ethische Einstellungen begrenzt. Ungläubige Personen sind nicht unbedingt areligiös. (ICE)</w:t>
      </w:r>
    </w:p>
    <w:p w:rsidR="000152A0" w:rsidRPr="00654F1F" w:rsidRDefault="0071126A">
      <w:pPr>
        <w:spacing w:line="200" w:lineRule="exact"/>
        <w:rPr>
          <w:rFonts w:ascii="Times New Roman" w:eastAsia="Times New Roman" w:hAnsi="Times New Roman"/>
          <w:sz w:val="24"/>
          <w:lang w:val="de-DE"/>
        </w:rPr>
      </w:pPr>
      <w:r w:rsidRPr="00654F1F">
        <w:rPr>
          <w:rFonts w:ascii="Arial" w:eastAsia="Arial" w:hAnsi="Arial"/>
          <w:sz w:val="15"/>
          <w:lang w:val="de-DE"/>
        </w:rPr>
        <w:br w:type="column"/>
      </w: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51" w:lineRule="exact"/>
        <w:rPr>
          <w:rFonts w:ascii="Times New Roman" w:eastAsia="Times New Roman" w:hAnsi="Times New Roman"/>
          <w:sz w:val="24"/>
          <w:lang w:val="de-DE"/>
        </w:rPr>
      </w:pPr>
    </w:p>
    <w:p w:rsidR="000152A0" w:rsidRDefault="0071126A">
      <w:pPr>
        <w:spacing w:line="0" w:lineRule="atLeast"/>
        <w:rPr>
          <w:rFonts w:ascii="Arial" w:eastAsia="Arial" w:hAnsi="Arial"/>
          <w:i/>
          <w:color w:val="4C4C4C"/>
          <w:sz w:val="18"/>
        </w:rPr>
      </w:pPr>
      <w:r>
        <w:rPr>
          <w:rFonts w:ascii="Arial" w:eastAsia="Arial" w:hAnsi="Arial"/>
          <w:i/>
          <w:color w:val="4C4C4C"/>
          <w:sz w:val="18"/>
        </w:rPr>
        <w:t>Abstract</w:t>
      </w:r>
    </w:p>
    <w:p w:rsidR="000152A0" w:rsidRDefault="000152A0">
      <w:pPr>
        <w:spacing w:line="16" w:lineRule="exact"/>
        <w:rPr>
          <w:rFonts w:ascii="Times New Roman" w:eastAsia="Times New Roman" w:hAnsi="Times New Roman"/>
          <w:sz w:val="24"/>
        </w:rPr>
      </w:pPr>
    </w:p>
    <w:p w:rsidR="0071126A" w:rsidRDefault="0071126A">
      <w:pPr>
        <w:spacing w:line="271" w:lineRule="auto"/>
        <w:ind w:right="40"/>
        <w:jc w:val="both"/>
        <w:rPr>
          <w:rFonts w:ascii="Arial" w:eastAsia="Arial" w:hAnsi="Arial"/>
          <w:color w:val="4C4C4C"/>
          <w:sz w:val="17"/>
        </w:rPr>
      </w:pPr>
      <w:r>
        <w:rPr>
          <w:rFonts w:ascii="Arial" w:eastAsia="Arial" w:hAnsi="Arial"/>
          <w:color w:val="4C4C4C"/>
          <w:sz w:val="17"/>
        </w:rPr>
      </w:r>
      <w:r w:rsidR="00F073D2">
        <w:rPr>
          <w:rFonts w:ascii="Arial" w:eastAsia="Arial" w:hAnsi="Arial"/>
          <w:color w:val="4C4C4C"/>
          <w:sz w:val="17"/>
        </w:rPr>
        <w:t>'the german reunion has given rise to a multitude of studies that deal with the transformation process within the reunited germany. conditions and opinions east and west have been described by a variety of social statistics, using for the main part quantitative methods. on the other hand there are a few studies of qualitative approach which aim at the description of regional milieus. the current project means to integrate the findings of both qualtative and quantitative research using various methodological approaches.' (author's abstract)|</w:t>
      </w:r>
    </w:p>
    <w:sectPr w:rsidR="0071126A" w:rsidSect="000152A0">
      <w:type w:val="continuous"/>
      <w:pgSz w:w="8840" w:h="13153"/>
      <w:pgMar w:top="740" w:right="1084" w:bottom="1440" w:left="1140" w:header="0" w:footer="0" w:gutter="0"/>
      <w:cols w:num="2" w:space="0" w:equalWidth="0">
        <w:col w:w="3160" w:space="240"/>
        <w:col w:w="32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2F5B"/>
    <w:rsid w:val="00012F5B"/>
    <w:rsid w:val="000152A0"/>
    <w:rsid w:val="00274878"/>
    <w:rsid w:val="003C3D49"/>
    <w:rsid w:val="003E4D2B"/>
    <w:rsid w:val="00654F1F"/>
    <w:rsid w:val="006E56D0"/>
    <w:rsid w:val="0071126A"/>
    <w:rsid w:val="0073001B"/>
    <w:rsid w:val="007F6D9C"/>
    <w:rsid w:val="008329EC"/>
    <w:rsid w:val="009A0933"/>
    <w:rsid w:val="009E040C"/>
    <w:rsid w:val="009E5E91"/>
    <w:rsid w:val="00A569F8"/>
    <w:rsid w:val="00D87CDE"/>
    <w:rsid w:val="00F073D2"/>
    <w:rsid w:val="00F47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A0"/>
  </w:style>
  <w:style w:type="paragraph" w:styleId="Heading1">
    <w:name w:val="heading 1"/>
    <w:basedOn w:val="Normal"/>
    <w:next w:val="Normal"/>
    <w:link w:val="Heading1Char"/>
    <w:uiPriority w:val="9"/>
    <w:qFormat/>
    <w:rsid w:val="00A569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69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0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69F8"/>
  </w:style>
  <w:style w:type="character" w:customStyle="1" w:styleId="Heading1Char">
    <w:name w:val="Heading 1 Char"/>
    <w:basedOn w:val="DefaultParagraphFont"/>
    <w:link w:val="Heading1"/>
    <w:uiPriority w:val="9"/>
    <w:rsid w:val="00A569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69F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50</Words>
  <Characters>288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Prantik Goswami</dc:creator>
  <cp:lastModifiedBy>Prantik Goswami</cp:lastModifiedBy>
  <cp:revision>16</cp:revision>
  <dcterms:created xsi:type="dcterms:W3CDTF">2020-07-26T16:43:00Z</dcterms:created>
  <dcterms:modified xsi:type="dcterms:W3CDTF">2020-07-26T23:37:00Z</dcterms:modified>
</cp:coreProperties>
</file>