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Journal of Public Health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Surface B-splines fitting for speeding up the simulation of adsorption processes with IAS model.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Joatildeo C. Santos, Yiyu Cheng, Madalena M. Dias, Aliacuterio E. Rodrigues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