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FFC8F" w14:textId="77777777" w:rsidR="00B95CF3" w:rsidRDefault="006C0461">
      <w:pPr>
        <w:pStyle w:val="Title"/>
      </w:pPr>
      <w:r>
        <w:t xml:space="preserve">RMMM Table for SQA </w:t>
      </w:r>
      <w:proofErr w:type="spellStart"/>
      <w:r>
        <w:t>BankPro</w:t>
      </w:r>
      <w:proofErr w:type="spellEnd"/>
      <w:r>
        <w:t xml:space="preserve"> Project</w:t>
      </w:r>
    </w:p>
    <w:p w14:paraId="751E7197" w14:textId="77777777" w:rsidR="000A0551" w:rsidRDefault="006C0461" w:rsidP="000A0551">
      <w:pPr>
        <w:jc w:val="center"/>
      </w:pPr>
      <w:r>
        <w:t xml:space="preserve">This Risk Management, Mitigation, and Monitoring (RMMM) table outlines the key risks identified in the SQA </w:t>
      </w:r>
      <w:proofErr w:type="spellStart"/>
      <w:r>
        <w:t>BankPro</w:t>
      </w:r>
      <w:proofErr w:type="spellEnd"/>
      <w:r>
        <w:t xml:space="preserve"> project, along with their probability, impact, mitigation strategies, and monitoring approaches. Effective management of these risks ensures the successful development and deployment of the 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2126"/>
        <w:gridCol w:w="1203"/>
        <w:gridCol w:w="835"/>
        <w:gridCol w:w="2134"/>
        <w:gridCol w:w="1887"/>
      </w:tblGrid>
      <w:tr w:rsidR="000A0551" w:rsidRPr="000A0551" w14:paraId="00B5B0F0" w14:textId="77777777" w:rsidTr="000A0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CC77A" w14:textId="77777777" w:rsidR="000A0551" w:rsidRPr="000A0551" w:rsidRDefault="000A0551" w:rsidP="000A0551">
            <w:pPr>
              <w:jc w:val="center"/>
              <w:rPr>
                <w:b/>
                <w:bCs/>
              </w:rPr>
            </w:pPr>
            <w:r w:rsidRPr="000A0551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0DFD7ACD" w14:textId="77777777" w:rsidR="000A0551" w:rsidRPr="000A0551" w:rsidRDefault="000A0551" w:rsidP="000A0551">
            <w:pPr>
              <w:jc w:val="center"/>
              <w:rPr>
                <w:b/>
                <w:bCs/>
              </w:rPr>
            </w:pPr>
            <w:r w:rsidRPr="000A0551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505CB807" w14:textId="77777777" w:rsidR="000A0551" w:rsidRPr="000A0551" w:rsidRDefault="000A0551" w:rsidP="000A0551">
            <w:pPr>
              <w:jc w:val="center"/>
              <w:rPr>
                <w:b/>
                <w:bCs/>
              </w:rPr>
            </w:pPr>
            <w:r w:rsidRPr="000A0551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100CCF2B" w14:textId="77777777" w:rsidR="000A0551" w:rsidRPr="000A0551" w:rsidRDefault="000A0551" w:rsidP="000A0551">
            <w:pPr>
              <w:jc w:val="center"/>
              <w:rPr>
                <w:b/>
                <w:bCs/>
              </w:rPr>
            </w:pPr>
            <w:r w:rsidRPr="000A055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6746A4E" w14:textId="77777777" w:rsidR="000A0551" w:rsidRPr="000A0551" w:rsidRDefault="000A0551" w:rsidP="000A0551">
            <w:pPr>
              <w:jc w:val="center"/>
              <w:rPr>
                <w:b/>
                <w:bCs/>
              </w:rPr>
            </w:pPr>
            <w:r w:rsidRPr="000A0551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4B1F0954" w14:textId="77777777" w:rsidR="000A0551" w:rsidRPr="000A0551" w:rsidRDefault="000A0551" w:rsidP="000A0551">
            <w:pPr>
              <w:jc w:val="center"/>
              <w:rPr>
                <w:b/>
                <w:bCs/>
              </w:rPr>
            </w:pPr>
            <w:r w:rsidRPr="000A0551">
              <w:rPr>
                <w:b/>
                <w:bCs/>
              </w:rPr>
              <w:t>Monitoring &amp; Management</w:t>
            </w:r>
          </w:p>
        </w:tc>
      </w:tr>
      <w:tr w:rsidR="000A0551" w:rsidRPr="000A0551" w14:paraId="65D2FFDD" w14:textId="77777777" w:rsidTr="000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9D5C" w14:textId="77777777" w:rsidR="000A0551" w:rsidRPr="000A0551" w:rsidRDefault="000A0551" w:rsidP="000A0551">
            <w:pPr>
              <w:jc w:val="center"/>
            </w:pPr>
            <w:r w:rsidRPr="000A0551">
              <w:t>R1</w:t>
            </w:r>
          </w:p>
        </w:tc>
        <w:tc>
          <w:tcPr>
            <w:tcW w:w="0" w:type="auto"/>
            <w:vAlign w:val="center"/>
            <w:hideMark/>
          </w:tcPr>
          <w:p w14:paraId="370EB8C7" w14:textId="77777777" w:rsidR="000A0551" w:rsidRPr="000A0551" w:rsidRDefault="000A0551" w:rsidP="000A0551">
            <w:pPr>
              <w:jc w:val="center"/>
            </w:pPr>
            <w:r w:rsidRPr="000A0551">
              <w:t>Technical Failure: Server crashes or downtime affecting user access</w:t>
            </w:r>
          </w:p>
        </w:tc>
        <w:tc>
          <w:tcPr>
            <w:tcW w:w="0" w:type="auto"/>
            <w:vAlign w:val="center"/>
            <w:hideMark/>
          </w:tcPr>
          <w:p w14:paraId="4AD36DE1" w14:textId="77777777" w:rsidR="000A0551" w:rsidRPr="000A0551" w:rsidRDefault="000A0551" w:rsidP="000A0551">
            <w:pPr>
              <w:jc w:val="center"/>
            </w:pPr>
            <w:r w:rsidRPr="000A0551">
              <w:t>Medium</w:t>
            </w:r>
          </w:p>
        </w:tc>
        <w:tc>
          <w:tcPr>
            <w:tcW w:w="0" w:type="auto"/>
            <w:vAlign w:val="center"/>
            <w:hideMark/>
          </w:tcPr>
          <w:p w14:paraId="2C2B246F" w14:textId="77777777" w:rsidR="000A0551" w:rsidRPr="000A0551" w:rsidRDefault="000A0551" w:rsidP="000A0551">
            <w:pPr>
              <w:jc w:val="center"/>
            </w:pPr>
            <w:r w:rsidRPr="000A0551">
              <w:t>High</w:t>
            </w:r>
          </w:p>
        </w:tc>
        <w:tc>
          <w:tcPr>
            <w:tcW w:w="0" w:type="auto"/>
            <w:vAlign w:val="center"/>
            <w:hideMark/>
          </w:tcPr>
          <w:p w14:paraId="0E218C0C" w14:textId="77777777" w:rsidR="000A0551" w:rsidRPr="000A0551" w:rsidRDefault="000A0551" w:rsidP="000A0551">
            <w:pPr>
              <w:jc w:val="center"/>
            </w:pPr>
            <w:r w:rsidRPr="000A0551">
              <w:t>Use load balancers, deploy redundant servers, implement auto-scaling and backups</w:t>
            </w:r>
          </w:p>
        </w:tc>
        <w:tc>
          <w:tcPr>
            <w:tcW w:w="0" w:type="auto"/>
            <w:vAlign w:val="center"/>
            <w:hideMark/>
          </w:tcPr>
          <w:p w14:paraId="3806540B" w14:textId="77777777" w:rsidR="000A0551" w:rsidRPr="000A0551" w:rsidRDefault="000A0551" w:rsidP="000A0551">
            <w:pPr>
              <w:jc w:val="center"/>
            </w:pPr>
            <w:r w:rsidRPr="000A0551">
              <w:t>Monitor server health, uptime, and error logs continuously</w:t>
            </w:r>
          </w:p>
        </w:tc>
      </w:tr>
      <w:tr w:rsidR="000A0551" w:rsidRPr="000A0551" w14:paraId="792FBB08" w14:textId="77777777" w:rsidTr="000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A144" w14:textId="77777777" w:rsidR="000A0551" w:rsidRPr="000A0551" w:rsidRDefault="000A0551" w:rsidP="000A0551">
            <w:pPr>
              <w:jc w:val="center"/>
            </w:pPr>
            <w:r w:rsidRPr="000A0551">
              <w:t>R2</w:t>
            </w:r>
          </w:p>
        </w:tc>
        <w:tc>
          <w:tcPr>
            <w:tcW w:w="0" w:type="auto"/>
            <w:vAlign w:val="center"/>
            <w:hideMark/>
          </w:tcPr>
          <w:p w14:paraId="486DA1B1" w14:textId="77777777" w:rsidR="000A0551" w:rsidRPr="000A0551" w:rsidRDefault="000A0551" w:rsidP="000A0551">
            <w:pPr>
              <w:jc w:val="center"/>
            </w:pPr>
            <w:r w:rsidRPr="000A0551">
              <w:t>Scope Creep: Additional features requested beyond initial plan</w:t>
            </w:r>
          </w:p>
        </w:tc>
        <w:tc>
          <w:tcPr>
            <w:tcW w:w="0" w:type="auto"/>
            <w:vAlign w:val="center"/>
            <w:hideMark/>
          </w:tcPr>
          <w:p w14:paraId="30E0E409" w14:textId="77777777" w:rsidR="000A0551" w:rsidRPr="000A0551" w:rsidRDefault="000A0551" w:rsidP="000A0551">
            <w:pPr>
              <w:jc w:val="center"/>
            </w:pPr>
            <w:r w:rsidRPr="000A0551">
              <w:t>High</w:t>
            </w:r>
          </w:p>
        </w:tc>
        <w:tc>
          <w:tcPr>
            <w:tcW w:w="0" w:type="auto"/>
            <w:vAlign w:val="center"/>
            <w:hideMark/>
          </w:tcPr>
          <w:p w14:paraId="3E98F3DA" w14:textId="77777777" w:rsidR="000A0551" w:rsidRPr="000A0551" w:rsidRDefault="000A0551" w:rsidP="000A0551">
            <w:pPr>
              <w:jc w:val="center"/>
            </w:pPr>
            <w:r w:rsidRPr="000A0551">
              <w:t>High</w:t>
            </w:r>
          </w:p>
        </w:tc>
        <w:tc>
          <w:tcPr>
            <w:tcW w:w="0" w:type="auto"/>
            <w:vAlign w:val="center"/>
            <w:hideMark/>
          </w:tcPr>
          <w:p w14:paraId="0CCFD015" w14:textId="77777777" w:rsidR="000A0551" w:rsidRPr="000A0551" w:rsidRDefault="000A0551" w:rsidP="000A0551">
            <w:pPr>
              <w:jc w:val="center"/>
            </w:pPr>
            <w:r w:rsidRPr="000A0551">
              <w:t>Define detailed project scope and use strict change management processes</w:t>
            </w:r>
          </w:p>
        </w:tc>
        <w:tc>
          <w:tcPr>
            <w:tcW w:w="0" w:type="auto"/>
            <w:vAlign w:val="center"/>
            <w:hideMark/>
          </w:tcPr>
          <w:p w14:paraId="1B6E7FF6" w14:textId="77777777" w:rsidR="000A0551" w:rsidRPr="000A0551" w:rsidRDefault="000A0551" w:rsidP="000A0551">
            <w:pPr>
              <w:jc w:val="center"/>
            </w:pPr>
            <w:r w:rsidRPr="000A0551">
              <w:t>Regular scope reviews and stakeholder sign-offs on changes</w:t>
            </w:r>
          </w:p>
        </w:tc>
      </w:tr>
      <w:tr w:rsidR="000A0551" w:rsidRPr="000A0551" w14:paraId="449F94F6" w14:textId="77777777" w:rsidTr="000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2ABA" w14:textId="77777777" w:rsidR="000A0551" w:rsidRPr="000A0551" w:rsidRDefault="000A0551" w:rsidP="000A0551">
            <w:pPr>
              <w:jc w:val="center"/>
            </w:pPr>
            <w:r w:rsidRPr="000A0551">
              <w:t>R3</w:t>
            </w:r>
          </w:p>
        </w:tc>
        <w:tc>
          <w:tcPr>
            <w:tcW w:w="0" w:type="auto"/>
            <w:vAlign w:val="center"/>
            <w:hideMark/>
          </w:tcPr>
          <w:p w14:paraId="749EEF1E" w14:textId="77777777" w:rsidR="000A0551" w:rsidRPr="000A0551" w:rsidRDefault="000A0551" w:rsidP="000A0551">
            <w:pPr>
              <w:jc w:val="center"/>
            </w:pPr>
            <w:r w:rsidRPr="000A0551">
              <w:t>Data Loss or Breach: Loss of sensitive banking data or security breach</w:t>
            </w:r>
          </w:p>
        </w:tc>
        <w:tc>
          <w:tcPr>
            <w:tcW w:w="0" w:type="auto"/>
            <w:vAlign w:val="center"/>
            <w:hideMark/>
          </w:tcPr>
          <w:p w14:paraId="10485207" w14:textId="77777777" w:rsidR="000A0551" w:rsidRPr="000A0551" w:rsidRDefault="000A0551" w:rsidP="000A0551">
            <w:pPr>
              <w:jc w:val="center"/>
            </w:pPr>
            <w:r w:rsidRPr="000A0551">
              <w:t>Low</w:t>
            </w:r>
          </w:p>
        </w:tc>
        <w:tc>
          <w:tcPr>
            <w:tcW w:w="0" w:type="auto"/>
            <w:vAlign w:val="center"/>
            <w:hideMark/>
          </w:tcPr>
          <w:p w14:paraId="417FA166" w14:textId="77777777" w:rsidR="000A0551" w:rsidRPr="000A0551" w:rsidRDefault="000A0551" w:rsidP="000A0551">
            <w:pPr>
              <w:jc w:val="center"/>
            </w:pPr>
            <w:r w:rsidRPr="000A0551">
              <w:t>High</w:t>
            </w:r>
          </w:p>
        </w:tc>
        <w:tc>
          <w:tcPr>
            <w:tcW w:w="0" w:type="auto"/>
            <w:vAlign w:val="center"/>
            <w:hideMark/>
          </w:tcPr>
          <w:p w14:paraId="585F8B23" w14:textId="77777777" w:rsidR="000A0551" w:rsidRPr="000A0551" w:rsidRDefault="000A0551" w:rsidP="000A0551">
            <w:pPr>
              <w:jc w:val="center"/>
            </w:pPr>
            <w:r w:rsidRPr="000A0551">
              <w:t>Implement strong encryption, regular database backups, and strict access controls</w:t>
            </w:r>
          </w:p>
        </w:tc>
        <w:tc>
          <w:tcPr>
            <w:tcW w:w="0" w:type="auto"/>
            <w:vAlign w:val="center"/>
            <w:hideMark/>
          </w:tcPr>
          <w:p w14:paraId="6469A9AF" w14:textId="77777777" w:rsidR="000A0551" w:rsidRPr="000A0551" w:rsidRDefault="000A0551" w:rsidP="000A0551">
            <w:pPr>
              <w:jc w:val="center"/>
            </w:pPr>
            <w:r w:rsidRPr="000A0551">
              <w:t>Continuous security monitoring, audit trails, and regular penetration testing</w:t>
            </w:r>
          </w:p>
        </w:tc>
      </w:tr>
      <w:tr w:rsidR="000A0551" w:rsidRPr="000A0551" w14:paraId="19CE7002" w14:textId="77777777" w:rsidTr="000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7AE8" w14:textId="77777777" w:rsidR="000A0551" w:rsidRPr="000A0551" w:rsidRDefault="000A0551" w:rsidP="000A0551">
            <w:pPr>
              <w:jc w:val="center"/>
            </w:pPr>
            <w:r w:rsidRPr="000A0551">
              <w:t>R4</w:t>
            </w:r>
          </w:p>
        </w:tc>
        <w:tc>
          <w:tcPr>
            <w:tcW w:w="0" w:type="auto"/>
            <w:vAlign w:val="center"/>
            <w:hideMark/>
          </w:tcPr>
          <w:p w14:paraId="7AD1F271" w14:textId="77777777" w:rsidR="000A0551" w:rsidRPr="000A0551" w:rsidRDefault="000A0551" w:rsidP="000A0551">
            <w:pPr>
              <w:jc w:val="center"/>
            </w:pPr>
            <w:r w:rsidRPr="000A0551">
              <w:t>Integration Delays: Delays connecting frontend with backend or third-party APIs</w:t>
            </w:r>
          </w:p>
        </w:tc>
        <w:tc>
          <w:tcPr>
            <w:tcW w:w="0" w:type="auto"/>
            <w:vAlign w:val="center"/>
            <w:hideMark/>
          </w:tcPr>
          <w:p w14:paraId="634EC2EC" w14:textId="77777777" w:rsidR="000A0551" w:rsidRPr="000A0551" w:rsidRDefault="000A0551" w:rsidP="000A0551">
            <w:pPr>
              <w:jc w:val="center"/>
            </w:pPr>
            <w:r w:rsidRPr="000A0551">
              <w:t>Medium</w:t>
            </w:r>
          </w:p>
        </w:tc>
        <w:tc>
          <w:tcPr>
            <w:tcW w:w="0" w:type="auto"/>
            <w:vAlign w:val="center"/>
            <w:hideMark/>
          </w:tcPr>
          <w:p w14:paraId="5F98CAE6" w14:textId="77777777" w:rsidR="000A0551" w:rsidRPr="000A0551" w:rsidRDefault="000A0551" w:rsidP="000A0551">
            <w:pPr>
              <w:jc w:val="center"/>
            </w:pPr>
            <w:r w:rsidRPr="000A0551">
              <w:t>Medium</w:t>
            </w:r>
          </w:p>
        </w:tc>
        <w:tc>
          <w:tcPr>
            <w:tcW w:w="0" w:type="auto"/>
            <w:vAlign w:val="center"/>
            <w:hideMark/>
          </w:tcPr>
          <w:p w14:paraId="03ACBA5E" w14:textId="77777777" w:rsidR="000A0551" w:rsidRPr="000A0551" w:rsidRDefault="000A0551" w:rsidP="000A0551">
            <w:pPr>
              <w:jc w:val="center"/>
            </w:pPr>
            <w:r w:rsidRPr="000A0551">
              <w:t>Plan integration milestones early, conduct interface testing, and buffer timeline</w:t>
            </w:r>
          </w:p>
        </w:tc>
        <w:tc>
          <w:tcPr>
            <w:tcW w:w="0" w:type="auto"/>
            <w:vAlign w:val="center"/>
            <w:hideMark/>
          </w:tcPr>
          <w:p w14:paraId="14764F57" w14:textId="77777777" w:rsidR="000A0551" w:rsidRPr="000A0551" w:rsidRDefault="000A0551" w:rsidP="000A0551">
            <w:pPr>
              <w:jc w:val="center"/>
            </w:pPr>
            <w:r w:rsidRPr="000A0551">
              <w:t>Track integration status and conduct end-to-end testing regularly</w:t>
            </w:r>
          </w:p>
        </w:tc>
      </w:tr>
      <w:tr w:rsidR="000A0551" w:rsidRPr="000A0551" w14:paraId="257300FD" w14:textId="77777777" w:rsidTr="000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C76F" w14:textId="77777777" w:rsidR="000A0551" w:rsidRPr="000A0551" w:rsidRDefault="000A0551" w:rsidP="000A0551">
            <w:pPr>
              <w:jc w:val="center"/>
            </w:pPr>
            <w:r w:rsidRPr="000A0551">
              <w:t>R5</w:t>
            </w:r>
          </w:p>
        </w:tc>
        <w:tc>
          <w:tcPr>
            <w:tcW w:w="0" w:type="auto"/>
            <w:vAlign w:val="center"/>
            <w:hideMark/>
          </w:tcPr>
          <w:p w14:paraId="1C0EA479" w14:textId="77777777" w:rsidR="000A0551" w:rsidRPr="000A0551" w:rsidRDefault="000A0551" w:rsidP="000A0551">
            <w:pPr>
              <w:jc w:val="center"/>
            </w:pPr>
            <w:r w:rsidRPr="000A0551">
              <w:t>Communication Gaps: Misalignment between dev team, stakeholders, and QA</w:t>
            </w:r>
          </w:p>
        </w:tc>
        <w:tc>
          <w:tcPr>
            <w:tcW w:w="0" w:type="auto"/>
            <w:vAlign w:val="center"/>
            <w:hideMark/>
          </w:tcPr>
          <w:p w14:paraId="78C883CE" w14:textId="77777777" w:rsidR="000A0551" w:rsidRPr="000A0551" w:rsidRDefault="000A0551" w:rsidP="000A0551">
            <w:pPr>
              <w:jc w:val="center"/>
            </w:pPr>
            <w:r w:rsidRPr="000A0551">
              <w:t>Medium</w:t>
            </w:r>
          </w:p>
        </w:tc>
        <w:tc>
          <w:tcPr>
            <w:tcW w:w="0" w:type="auto"/>
            <w:vAlign w:val="center"/>
            <w:hideMark/>
          </w:tcPr>
          <w:p w14:paraId="3F756B79" w14:textId="77777777" w:rsidR="000A0551" w:rsidRPr="000A0551" w:rsidRDefault="000A0551" w:rsidP="000A0551">
            <w:pPr>
              <w:jc w:val="center"/>
            </w:pPr>
            <w:r w:rsidRPr="000A0551">
              <w:t>Medium</w:t>
            </w:r>
          </w:p>
        </w:tc>
        <w:tc>
          <w:tcPr>
            <w:tcW w:w="0" w:type="auto"/>
            <w:vAlign w:val="center"/>
            <w:hideMark/>
          </w:tcPr>
          <w:p w14:paraId="16A8E1B1" w14:textId="77777777" w:rsidR="000A0551" w:rsidRPr="000A0551" w:rsidRDefault="000A0551" w:rsidP="000A0551">
            <w:pPr>
              <w:jc w:val="center"/>
            </w:pPr>
            <w:r w:rsidRPr="000A0551">
              <w:t>Maintain clear communication channels, frequent updates, and documentation</w:t>
            </w:r>
          </w:p>
        </w:tc>
        <w:tc>
          <w:tcPr>
            <w:tcW w:w="0" w:type="auto"/>
            <w:vAlign w:val="center"/>
            <w:hideMark/>
          </w:tcPr>
          <w:p w14:paraId="67E709E2" w14:textId="77777777" w:rsidR="000A0551" w:rsidRPr="000A0551" w:rsidRDefault="000A0551" w:rsidP="000A0551">
            <w:pPr>
              <w:jc w:val="center"/>
            </w:pPr>
            <w:r w:rsidRPr="000A0551">
              <w:t>Hold regular meetings, gather feedback, and document decisions</w:t>
            </w:r>
          </w:p>
        </w:tc>
      </w:tr>
      <w:tr w:rsidR="000A0551" w:rsidRPr="000A0551" w14:paraId="4F3BC606" w14:textId="77777777" w:rsidTr="000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B43D" w14:textId="77777777" w:rsidR="000A0551" w:rsidRPr="000A0551" w:rsidRDefault="000A0551" w:rsidP="000A0551">
            <w:pPr>
              <w:jc w:val="center"/>
            </w:pPr>
            <w:r w:rsidRPr="000A0551">
              <w:t>R6</w:t>
            </w:r>
          </w:p>
        </w:tc>
        <w:tc>
          <w:tcPr>
            <w:tcW w:w="0" w:type="auto"/>
            <w:vAlign w:val="center"/>
            <w:hideMark/>
          </w:tcPr>
          <w:p w14:paraId="51846931" w14:textId="77777777" w:rsidR="000A0551" w:rsidRPr="000A0551" w:rsidRDefault="000A0551" w:rsidP="000A0551">
            <w:pPr>
              <w:jc w:val="center"/>
            </w:pPr>
            <w:r w:rsidRPr="000A0551">
              <w:t>Developer Turnover: Losing key MERN stack developers mid-</w:t>
            </w:r>
            <w:r w:rsidRPr="000A0551">
              <w:lastRenderedPageBreak/>
              <w:t>project</w:t>
            </w:r>
          </w:p>
        </w:tc>
        <w:tc>
          <w:tcPr>
            <w:tcW w:w="0" w:type="auto"/>
            <w:vAlign w:val="center"/>
            <w:hideMark/>
          </w:tcPr>
          <w:p w14:paraId="5FC45F41" w14:textId="77777777" w:rsidR="000A0551" w:rsidRPr="000A0551" w:rsidRDefault="000A0551" w:rsidP="000A0551">
            <w:pPr>
              <w:jc w:val="center"/>
            </w:pPr>
            <w:r w:rsidRPr="000A0551"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0B873462" w14:textId="77777777" w:rsidR="000A0551" w:rsidRPr="000A0551" w:rsidRDefault="000A0551" w:rsidP="000A0551">
            <w:pPr>
              <w:jc w:val="center"/>
            </w:pPr>
            <w:r w:rsidRPr="000A0551">
              <w:t>High</w:t>
            </w:r>
          </w:p>
        </w:tc>
        <w:tc>
          <w:tcPr>
            <w:tcW w:w="0" w:type="auto"/>
            <w:vAlign w:val="center"/>
            <w:hideMark/>
          </w:tcPr>
          <w:p w14:paraId="5CF13910" w14:textId="77777777" w:rsidR="000A0551" w:rsidRPr="000A0551" w:rsidRDefault="000A0551" w:rsidP="000A0551">
            <w:pPr>
              <w:jc w:val="center"/>
            </w:pPr>
            <w:r w:rsidRPr="000A0551">
              <w:t xml:space="preserve">Cross-train team, maintain good documentation, and </w:t>
            </w:r>
            <w:r w:rsidRPr="000A0551">
              <w:lastRenderedPageBreak/>
              <w:t>incentivize retention</w:t>
            </w:r>
          </w:p>
        </w:tc>
        <w:tc>
          <w:tcPr>
            <w:tcW w:w="0" w:type="auto"/>
            <w:vAlign w:val="center"/>
            <w:hideMark/>
          </w:tcPr>
          <w:p w14:paraId="2D27141F" w14:textId="77777777" w:rsidR="000A0551" w:rsidRPr="000A0551" w:rsidRDefault="000A0551" w:rsidP="000A0551">
            <w:pPr>
              <w:jc w:val="center"/>
            </w:pPr>
            <w:r w:rsidRPr="000A0551">
              <w:lastRenderedPageBreak/>
              <w:t xml:space="preserve">Monitor team health and knowledge sharing </w:t>
            </w:r>
            <w:r w:rsidRPr="000A0551">
              <w:lastRenderedPageBreak/>
              <w:t>sessions</w:t>
            </w:r>
          </w:p>
        </w:tc>
      </w:tr>
      <w:tr w:rsidR="000A0551" w:rsidRPr="000A0551" w14:paraId="716F8C89" w14:textId="77777777" w:rsidTr="000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A913" w14:textId="77777777" w:rsidR="000A0551" w:rsidRPr="000A0551" w:rsidRDefault="000A0551" w:rsidP="000A0551">
            <w:pPr>
              <w:jc w:val="center"/>
            </w:pPr>
            <w:r w:rsidRPr="000A0551">
              <w:lastRenderedPageBreak/>
              <w:t>R7</w:t>
            </w:r>
          </w:p>
        </w:tc>
        <w:tc>
          <w:tcPr>
            <w:tcW w:w="0" w:type="auto"/>
            <w:vAlign w:val="center"/>
            <w:hideMark/>
          </w:tcPr>
          <w:p w14:paraId="09EB1007" w14:textId="77777777" w:rsidR="000A0551" w:rsidRPr="000A0551" w:rsidRDefault="000A0551" w:rsidP="000A0551">
            <w:pPr>
              <w:jc w:val="center"/>
            </w:pPr>
            <w:r w:rsidRPr="000A0551">
              <w:t>Regulatory Compliance: Ensuring app meets banking regulations and data privacy laws</w:t>
            </w:r>
          </w:p>
        </w:tc>
        <w:tc>
          <w:tcPr>
            <w:tcW w:w="0" w:type="auto"/>
            <w:vAlign w:val="center"/>
            <w:hideMark/>
          </w:tcPr>
          <w:p w14:paraId="19D29305" w14:textId="77777777" w:rsidR="000A0551" w:rsidRPr="000A0551" w:rsidRDefault="000A0551" w:rsidP="000A0551">
            <w:pPr>
              <w:jc w:val="center"/>
            </w:pPr>
            <w:r w:rsidRPr="000A0551">
              <w:t>Low</w:t>
            </w:r>
          </w:p>
        </w:tc>
        <w:tc>
          <w:tcPr>
            <w:tcW w:w="0" w:type="auto"/>
            <w:vAlign w:val="center"/>
            <w:hideMark/>
          </w:tcPr>
          <w:p w14:paraId="3E5EDC51" w14:textId="77777777" w:rsidR="000A0551" w:rsidRPr="000A0551" w:rsidRDefault="000A0551" w:rsidP="000A0551">
            <w:pPr>
              <w:jc w:val="center"/>
            </w:pPr>
            <w:r w:rsidRPr="000A0551">
              <w:t>High</w:t>
            </w:r>
          </w:p>
        </w:tc>
        <w:tc>
          <w:tcPr>
            <w:tcW w:w="0" w:type="auto"/>
            <w:vAlign w:val="center"/>
            <w:hideMark/>
          </w:tcPr>
          <w:p w14:paraId="5836DD6D" w14:textId="77777777" w:rsidR="000A0551" w:rsidRPr="000A0551" w:rsidRDefault="000A0551" w:rsidP="000A0551">
            <w:pPr>
              <w:jc w:val="center"/>
            </w:pPr>
            <w:r w:rsidRPr="000A0551">
              <w:t>Keep updated with relevant regulations (e.g., PCI DSS, GDPR), conduct compliance reviews</w:t>
            </w:r>
          </w:p>
        </w:tc>
        <w:tc>
          <w:tcPr>
            <w:tcW w:w="0" w:type="auto"/>
            <w:vAlign w:val="center"/>
            <w:hideMark/>
          </w:tcPr>
          <w:p w14:paraId="4BD97BCF" w14:textId="77777777" w:rsidR="000A0551" w:rsidRPr="000A0551" w:rsidRDefault="000A0551" w:rsidP="000A0551">
            <w:pPr>
              <w:jc w:val="center"/>
            </w:pPr>
            <w:r w:rsidRPr="000A0551">
              <w:t>Regular compliance audits and update policies as regulations evolve</w:t>
            </w:r>
          </w:p>
        </w:tc>
      </w:tr>
    </w:tbl>
    <w:p w14:paraId="1F908AB0" w14:textId="6FC8602C" w:rsidR="006C0461" w:rsidRDefault="000A0551" w:rsidP="000A0551">
      <w:pPr>
        <w:jc w:val="center"/>
      </w:pPr>
      <w:r>
        <w:t xml:space="preserve"> </w:t>
      </w:r>
    </w:p>
    <w:sectPr w:rsidR="006C04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184196">
    <w:abstractNumId w:val="8"/>
  </w:num>
  <w:num w:numId="2" w16cid:durableId="681738047">
    <w:abstractNumId w:val="6"/>
  </w:num>
  <w:num w:numId="3" w16cid:durableId="1871409496">
    <w:abstractNumId w:val="5"/>
  </w:num>
  <w:num w:numId="4" w16cid:durableId="598366568">
    <w:abstractNumId w:val="4"/>
  </w:num>
  <w:num w:numId="5" w16cid:durableId="34277031">
    <w:abstractNumId w:val="7"/>
  </w:num>
  <w:num w:numId="6" w16cid:durableId="793016698">
    <w:abstractNumId w:val="3"/>
  </w:num>
  <w:num w:numId="7" w16cid:durableId="1378627699">
    <w:abstractNumId w:val="2"/>
  </w:num>
  <w:num w:numId="8" w16cid:durableId="1233083826">
    <w:abstractNumId w:val="1"/>
  </w:num>
  <w:num w:numId="9" w16cid:durableId="173627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551"/>
    <w:rsid w:val="0015074B"/>
    <w:rsid w:val="002061FF"/>
    <w:rsid w:val="0029639D"/>
    <w:rsid w:val="00326F90"/>
    <w:rsid w:val="003C43EF"/>
    <w:rsid w:val="006C0461"/>
    <w:rsid w:val="00AA1D8D"/>
    <w:rsid w:val="00AF17F3"/>
    <w:rsid w:val="00B47730"/>
    <w:rsid w:val="00B95C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6EBD0"/>
  <w14:defaultImageDpi w14:val="300"/>
  <w15:docId w15:val="{3C399302-BA3B-4F1D-8648-55E5ED4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087BF-BD16-4917-B3B8-749A92D3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 Comby</cp:lastModifiedBy>
  <cp:revision>4</cp:revision>
  <dcterms:created xsi:type="dcterms:W3CDTF">2013-12-23T23:15:00Z</dcterms:created>
  <dcterms:modified xsi:type="dcterms:W3CDTF">2025-05-16T01:11:00Z</dcterms:modified>
  <cp:category/>
</cp:coreProperties>
</file>