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E22B4"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Once the heart of farm labor organizing and the birthplace of the United Farm Workers union, the City of Delano, in California’s verdant San Joaquin Valley, is host to three prisons, whose combined population accounts for arou</w:t>
      </w:r>
      <w:r w:rsidR="00FA5329">
        <w:rPr>
          <w:rFonts w:ascii="Times New Roman" w:hAnsi="Times New Roman" w:cs="Times New Roman"/>
          <w:sz w:val="24"/>
          <w:szCs w:val="24"/>
        </w:rPr>
        <w:t>n</w:t>
      </w:r>
      <w:r w:rsidRPr="00FA5329">
        <w:rPr>
          <w:rFonts w:ascii="Times New Roman" w:hAnsi="Times New Roman" w:cs="Times New Roman"/>
          <w:sz w:val="24"/>
          <w:szCs w:val="24"/>
        </w:rPr>
        <w:t xml:space="preserve">d 16-20% of the city’s </w:t>
      </w:r>
      <w:r w:rsidRPr="00FA5329">
        <w:rPr>
          <w:rFonts w:ascii="Times New Roman" w:hAnsi="Times New Roman" w:cs="Times New Roman"/>
          <w:sz w:val="24"/>
          <w:szCs w:val="24"/>
        </w:rPr>
        <w:t>roughly 53,000 residents</w:t>
      </w:r>
      <w:r w:rsidRPr="00FA5329">
        <w:rPr>
          <w:rFonts w:ascii="Times New Roman" w:hAnsi="Times New Roman" w:cs="Times New Roman"/>
          <w:sz w:val="24"/>
          <w:szCs w:val="24"/>
          <w:vertAlign w:val="superscript"/>
        </w:rPr>
        <w:footnoteReference w:id="1"/>
      </w:r>
      <w:r w:rsidRPr="00FA5329">
        <w:rPr>
          <w:rFonts w:ascii="Times New Roman" w:hAnsi="Times New Roman" w:cs="Times New Roman"/>
          <w:sz w:val="24"/>
          <w:szCs w:val="24"/>
        </w:rPr>
        <w:t xml:space="preserve">. The City’s transition from being the heart of union labor to a hub of prisons emblematizes broader shifts in the state’s and country’s political economy with </w:t>
      </w:r>
      <w:r w:rsidRPr="00FA5329">
        <w:rPr>
          <w:rFonts w:ascii="Times New Roman" w:hAnsi="Times New Roman" w:cs="Times New Roman"/>
          <w:sz w:val="24"/>
          <w:szCs w:val="24"/>
          <w:highlight w:val="yellow"/>
        </w:rPr>
        <w:t>the erosion of the Keynesian welfare state into a permanent crisis work</w:t>
      </w:r>
      <w:r w:rsidRPr="00FA5329">
        <w:rPr>
          <w:rFonts w:ascii="Times New Roman" w:hAnsi="Times New Roman" w:cs="Times New Roman"/>
          <w:sz w:val="24"/>
          <w:szCs w:val="24"/>
          <w:highlight w:val="yellow"/>
        </w:rPr>
        <w:t>fare-welfare state (Gilmore 2007)</w:t>
      </w:r>
      <w:r w:rsidRPr="00FA5329">
        <w:rPr>
          <w:rFonts w:ascii="Times New Roman" w:hAnsi="Times New Roman" w:cs="Times New Roman"/>
          <w:sz w:val="24"/>
          <w:szCs w:val="24"/>
        </w:rPr>
        <w:t xml:space="preserve">. Yet, in Delano, this transition was far from smooth--the transition required an overhaul of the local economy, from one dependent primarily on commercial agriculture to </w:t>
      </w:r>
      <w:r w:rsidRPr="00FA5329">
        <w:rPr>
          <w:rFonts w:ascii="Times New Roman" w:hAnsi="Times New Roman" w:cs="Times New Roman"/>
          <w:sz w:val="24"/>
          <w:szCs w:val="24"/>
          <w:highlight w:val="yellow"/>
        </w:rPr>
        <w:t>one paradoxically dominated by both unemployment and</w:t>
      </w:r>
      <w:r w:rsidRPr="00FA5329">
        <w:rPr>
          <w:rFonts w:ascii="Times New Roman" w:hAnsi="Times New Roman" w:cs="Times New Roman"/>
          <w:sz w:val="24"/>
          <w:szCs w:val="24"/>
          <w:highlight w:val="yellow"/>
        </w:rPr>
        <w:t xml:space="preserve"> a booming prison industry, and people from across the state mounted a major campaign to contest this transformation. </w:t>
      </w:r>
      <w:r w:rsidRPr="00FA5329">
        <w:rPr>
          <w:rFonts w:ascii="Times New Roman" w:hAnsi="Times New Roman" w:cs="Times New Roman"/>
          <w:sz w:val="24"/>
          <w:szCs w:val="24"/>
        </w:rPr>
        <w:t xml:space="preserve">This chapter details the ways in which the campaign to stop the construction of Delano’s second prison gained traction through the use of </w:t>
      </w:r>
      <w:r w:rsidRPr="00FA5329">
        <w:rPr>
          <w:rFonts w:ascii="Times New Roman" w:hAnsi="Times New Roman" w:cs="Times New Roman"/>
          <w:sz w:val="24"/>
          <w:szCs w:val="24"/>
        </w:rPr>
        <w:t>an environmental justice framework centered around the EIA process.</w:t>
      </w:r>
    </w:p>
    <w:p w14:paraId="61F6030B"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ab/>
        <w:t xml:space="preserve">The campaign to stop the construction of the second prison in Delano was much larger than just the struggle against a single prison. The campaign was part of ongoing struggles to curtail </w:t>
      </w:r>
      <w:r w:rsidRPr="00FA5329">
        <w:rPr>
          <w:rFonts w:ascii="Times New Roman" w:hAnsi="Times New Roman" w:cs="Times New Roman"/>
          <w:sz w:val="24"/>
          <w:szCs w:val="24"/>
        </w:rPr>
        <w:t>growth of the prison industrial complex and mass incarceration of people across the US. The Delano prison was important to this larger campaign because the prison was the latest in California’s massive 20-year prison construction spree that had begun in th</w:t>
      </w:r>
      <w:r w:rsidRPr="00FA5329">
        <w:rPr>
          <w:rFonts w:ascii="Times New Roman" w:hAnsi="Times New Roman" w:cs="Times New Roman"/>
          <w:sz w:val="24"/>
          <w:szCs w:val="24"/>
        </w:rPr>
        <w:t xml:space="preserve">e early 1980s, and included some [20] new prisons over that period. But the campaign was also important because </w:t>
      </w:r>
      <w:r w:rsidRPr="00FA5329">
        <w:rPr>
          <w:rFonts w:ascii="Times New Roman" w:hAnsi="Times New Roman" w:cs="Times New Roman"/>
          <w:sz w:val="24"/>
          <w:szCs w:val="24"/>
        </w:rPr>
        <w:lastRenderedPageBreak/>
        <w:t>of Delano’s significance within the state. As the onetime heart of the farm labor movement, and being situated near the center of California’s C</w:t>
      </w:r>
      <w:r w:rsidRPr="00FA5329">
        <w:rPr>
          <w:rFonts w:ascii="Times New Roman" w:hAnsi="Times New Roman" w:cs="Times New Roman"/>
          <w:sz w:val="24"/>
          <w:szCs w:val="24"/>
        </w:rPr>
        <w:t>entral Valley, where agriculture is the primary industry, the transformation of Delano from an agriculture economy to one dominated by the prison industry would send a message to farm workers, that their existence was even more tenuous, with organized labo</w:t>
      </w:r>
      <w:r w:rsidRPr="00FA5329">
        <w:rPr>
          <w:rFonts w:ascii="Times New Roman" w:hAnsi="Times New Roman" w:cs="Times New Roman"/>
          <w:sz w:val="24"/>
          <w:szCs w:val="24"/>
        </w:rPr>
        <w:t xml:space="preserve">r being met with the punitive system of mass incarceration. </w:t>
      </w:r>
    </w:p>
    <w:p w14:paraId="35DFAAEB" w14:textId="77777777" w:rsidR="00AD15E8" w:rsidRPr="00FA5329" w:rsidRDefault="00AD15E8"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p>
    <w:p w14:paraId="60ACCA38"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ab/>
        <w:t>Beyond the strategic significance of the Delano campaign to the prison abolition movement, the particular tactics used in the campaign are significant because they demonstrated the viability of</w:t>
      </w:r>
      <w:r w:rsidRPr="00FA5329">
        <w:rPr>
          <w:rFonts w:ascii="Times New Roman" w:hAnsi="Times New Roman" w:cs="Times New Roman"/>
          <w:sz w:val="24"/>
          <w:szCs w:val="24"/>
        </w:rPr>
        <w:t xml:space="preserve"> linking environmental policy and environmental justice with other modes of social justice organizing. As the rest of this chapter shows, the tactic of using the EIA process to intervene in the prison’s construction provided unique opportunities for coalit</w:t>
      </w:r>
      <w:r w:rsidRPr="00FA5329">
        <w:rPr>
          <w:rFonts w:ascii="Times New Roman" w:hAnsi="Times New Roman" w:cs="Times New Roman"/>
          <w:sz w:val="24"/>
          <w:szCs w:val="24"/>
        </w:rPr>
        <w:t>ion building and movement organizing, as well as creating shifts in the discourses around race, justice, and environment. By leveraging the public participation and procedural requirements of the EIA process, campaign organizers compelled the California De</w:t>
      </w:r>
      <w:r w:rsidRPr="00FA5329">
        <w:rPr>
          <w:rFonts w:ascii="Times New Roman" w:hAnsi="Times New Roman" w:cs="Times New Roman"/>
          <w:sz w:val="24"/>
          <w:szCs w:val="24"/>
        </w:rPr>
        <w:t>partment of Corrections (CDC) to engage in dialog with local residents, other state agencies, and the campaign organizers themselves about the impacts of the prison on a range of stakeholders, the local economy, and the environment. Significantly, the camp</w:t>
      </w:r>
      <w:r w:rsidRPr="00FA5329">
        <w:rPr>
          <w:rFonts w:ascii="Times New Roman" w:hAnsi="Times New Roman" w:cs="Times New Roman"/>
          <w:sz w:val="24"/>
          <w:szCs w:val="24"/>
        </w:rPr>
        <w:t>aign and lawsuit leveraged the conceptual flexibility of an environmental justice framework to build a case against the prison through the environmental impact assessment (EIA) process mandated by state and federal environmental policies.</w:t>
      </w:r>
    </w:p>
    <w:p w14:paraId="5FD69FCE"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ab/>
      </w:r>
    </w:p>
    <w:p w14:paraId="47BD9D64"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ab/>
        <w:t>The Delano cam</w:t>
      </w:r>
      <w:r w:rsidRPr="00FA5329">
        <w:rPr>
          <w:rFonts w:ascii="Times New Roman" w:hAnsi="Times New Roman" w:cs="Times New Roman"/>
          <w:sz w:val="24"/>
          <w:szCs w:val="24"/>
        </w:rPr>
        <w:t xml:space="preserve">paign demonstrates the ways in which the malleability of EIA allows organizers to stretch the concept of environment, and thus, the social justice organizing </w:t>
      </w:r>
      <w:r w:rsidRPr="00FA5329">
        <w:rPr>
          <w:rFonts w:ascii="Times New Roman" w:hAnsi="Times New Roman" w:cs="Times New Roman"/>
          <w:sz w:val="24"/>
          <w:szCs w:val="24"/>
        </w:rPr>
        <w:lastRenderedPageBreak/>
        <w:t>capacities around racialized space. Campaign organizers formed a broad coalition that brought toge</w:t>
      </w:r>
      <w:r w:rsidRPr="00FA5329">
        <w:rPr>
          <w:rFonts w:ascii="Times New Roman" w:hAnsi="Times New Roman" w:cs="Times New Roman"/>
          <w:sz w:val="24"/>
          <w:szCs w:val="24"/>
        </w:rPr>
        <w:t>ther prison abolitionists, environmental justice and immigrant rights advocates, as well as ecologists, agriculturalists, and resource management specialists, in opposition to the conversion of farmland into carceral space. While this campaign obviously re</w:t>
      </w:r>
      <w:r w:rsidRPr="00FA5329">
        <w:rPr>
          <w:rFonts w:ascii="Times New Roman" w:hAnsi="Times New Roman" w:cs="Times New Roman"/>
          <w:sz w:val="24"/>
          <w:szCs w:val="24"/>
        </w:rPr>
        <w:t>quired tremendous organizing effort and creativity, it also poses the conundrum of how such a flexible state capacity has endured the political economic shifts of the past half century. NEPA, and its analogs operating at different scales of governance, suc</w:t>
      </w:r>
      <w:r w:rsidRPr="00FA5329">
        <w:rPr>
          <w:rFonts w:ascii="Times New Roman" w:hAnsi="Times New Roman" w:cs="Times New Roman"/>
          <w:sz w:val="24"/>
          <w:szCs w:val="24"/>
        </w:rPr>
        <w:t xml:space="preserve">h as the California Environmental Quality Act (CEQA), institutionalizes new state planning capacities directed at incorporating environmental sciences into decision making over a broad range of state-funded projects and programs that directly affect urban </w:t>
      </w:r>
      <w:r w:rsidRPr="00FA5329">
        <w:rPr>
          <w:rFonts w:ascii="Times New Roman" w:hAnsi="Times New Roman" w:cs="Times New Roman"/>
          <w:sz w:val="24"/>
          <w:szCs w:val="24"/>
        </w:rPr>
        <w:t xml:space="preserve">development and the built environment. That is, EIA provides a mechanism through which the racial-environmental state is reshaped, alongside the related shifts from the Keynesian welfare state to the workfare-welfare state, and the segregationist state to </w:t>
      </w:r>
      <w:r w:rsidRPr="00FA5329">
        <w:rPr>
          <w:rFonts w:ascii="Times New Roman" w:hAnsi="Times New Roman" w:cs="Times New Roman"/>
          <w:sz w:val="24"/>
          <w:szCs w:val="24"/>
        </w:rPr>
        <w:t>the liberal</w:t>
      </w:r>
      <w:proofErr w:type="gramStart"/>
      <w:r w:rsidRPr="00FA5329">
        <w:rPr>
          <w:rFonts w:ascii="Times New Roman" w:hAnsi="Times New Roman" w:cs="Times New Roman"/>
          <w:sz w:val="24"/>
          <w:szCs w:val="24"/>
        </w:rPr>
        <w:t>-“</w:t>
      </w:r>
      <w:proofErr w:type="gramEnd"/>
      <w:r w:rsidRPr="00FA5329">
        <w:rPr>
          <w:rFonts w:ascii="Times New Roman" w:hAnsi="Times New Roman" w:cs="Times New Roman"/>
          <w:sz w:val="24"/>
          <w:szCs w:val="24"/>
        </w:rPr>
        <w:t>colorblind” state.</w:t>
      </w:r>
    </w:p>
    <w:p w14:paraId="504BF352"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From the outset, the legislators and scholars who developed the NEPA framework intended for it to directly impact the process by which the entire range of governmental actions progressed. Lynton Caldwell, a political scientist who helped craft NEP</w:t>
      </w:r>
      <w:r w:rsidRPr="00FA5329">
        <w:rPr>
          <w:rFonts w:ascii="Times New Roman" w:hAnsi="Times New Roman" w:cs="Times New Roman"/>
          <w:sz w:val="24"/>
          <w:szCs w:val="24"/>
        </w:rPr>
        <w:t xml:space="preserve">A, argued </w:t>
      </w:r>
      <w:proofErr w:type="gramStart"/>
      <w:r w:rsidRPr="00FA5329">
        <w:rPr>
          <w:rFonts w:ascii="Times New Roman" w:hAnsi="Times New Roman" w:cs="Times New Roman"/>
          <w:sz w:val="24"/>
          <w:szCs w:val="24"/>
        </w:rPr>
        <w:t>that  the</w:t>
      </w:r>
      <w:proofErr w:type="gramEnd"/>
      <w:r w:rsidRPr="00FA5329">
        <w:rPr>
          <w:rFonts w:ascii="Times New Roman" w:hAnsi="Times New Roman" w:cs="Times New Roman"/>
          <w:sz w:val="24"/>
          <w:szCs w:val="24"/>
        </w:rPr>
        <w:t xml:space="preserve"> force of NEPA was in its universal applicability across all branches of government (</w:t>
      </w:r>
      <w:r w:rsidRPr="00FA5329">
        <w:rPr>
          <w:rFonts w:ascii="Times New Roman" w:hAnsi="Times New Roman" w:cs="Times New Roman"/>
          <w:sz w:val="24"/>
          <w:szCs w:val="24"/>
          <w:highlight w:val="yellow"/>
        </w:rPr>
        <w:t>citation</w:t>
      </w:r>
      <w:r w:rsidRPr="00FA5329">
        <w:rPr>
          <w:rFonts w:ascii="Times New Roman" w:hAnsi="Times New Roman" w:cs="Times New Roman"/>
          <w:sz w:val="24"/>
          <w:szCs w:val="24"/>
        </w:rPr>
        <w:t xml:space="preserve">). While the potential environmental and administrative consequences of NEPA were immediately apparent, what was somewhat less apparent was the </w:t>
      </w:r>
      <w:r w:rsidRPr="00FA5329">
        <w:rPr>
          <w:rFonts w:ascii="Times New Roman" w:hAnsi="Times New Roman" w:cs="Times New Roman"/>
          <w:sz w:val="24"/>
          <w:szCs w:val="24"/>
        </w:rPr>
        <w:t>impact NEPA and the EIA process would have on government functions. This is especially true for those state functions that require infrastructural development for implementation, such as expansion of prison and detainment facilities. Under NEPA, the EIA pr</w:t>
      </w:r>
      <w:r w:rsidRPr="00FA5329">
        <w:rPr>
          <w:rFonts w:ascii="Times New Roman" w:hAnsi="Times New Roman" w:cs="Times New Roman"/>
          <w:sz w:val="24"/>
          <w:szCs w:val="24"/>
        </w:rPr>
        <w:t xml:space="preserve">ocess is a necessary step before the state can expand its </w:t>
      </w:r>
      <w:r w:rsidRPr="00FA5329">
        <w:rPr>
          <w:rFonts w:ascii="Times New Roman" w:hAnsi="Times New Roman" w:cs="Times New Roman"/>
          <w:sz w:val="24"/>
          <w:szCs w:val="24"/>
        </w:rPr>
        <w:lastRenderedPageBreak/>
        <w:t xml:space="preserve">capacity for incarceration, and therefore, such decisions become subject to the public and bureaucratic scrutiny embedded within the EIA process. </w:t>
      </w:r>
    </w:p>
    <w:p w14:paraId="0CC28382"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What implications does the NEPA requirement have ac</w:t>
      </w:r>
      <w:r w:rsidRPr="00FA5329">
        <w:rPr>
          <w:rFonts w:ascii="Times New Roman" w:hAnsi="Times New Roman" w:cs="Times New Roman"/>
          <w:sz w:val="24"/>
          <w:szCs w:val="24"/>
        </w:rPr>
        <w:t>ross the range of various state institutions? Key among the implications is that institutions of capitalistic domination, such as the prison and military industrial complexes are subject to environmental scrutiny.</w:t>
      </w:r>
    </w:p>
    <w:p w14:paraId="1D3BC93A"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 xml:space="preserve">Rose </w:t>
      </w:r>
      <w:proofErr w:type="spellStart"/>
      <w:r w:rsidRPr="00FA5329">
        <w:rPr>
          <w:rFonts w:ascii="Times New Roman" w:hAnsi="Times New Roman" w:cs="Times New Roman"/>
          <w:sz w:val="24"/>
          <w:szCs w:val="24"/>
        </w:rPr>
        <w:t>Braz</w:t>
      </w:r>
      <w:proofErr w:type="spellEnd"/>
      <w:r w:rsidRPr="00FA5329">
        <w:rPr>
          <w:rFonts w:ascii="Times New Roman" w:hAnsi="Times New Roman" w:cs="Times New Roman"/>
          <w:sz w:val="24"/>
          <w:szCs w:val="24"/>
        </w:rPr>
        <w:t xml:space="preserve"> and Craig Gilmore (2006), as wel</w:t>
      </w:r>
      <w:r w:rsidRPr="00FA5329">
        <w:rPr>
          <w:rFonts w:ascii="Times New Roman" w:hAnsi="Times New Roman" w:cs="Times New Roman"/>
          <w:sz w:val="24"/>
          <w:szCs w:val="24"/>
        </w:rPr>
        <w:t xml:space="preserve">l as Ruth Wilson Gilmore (2008), use the organizing efforts to stop construction of the Delano II prison as a case study about the potential for social and environmental justice organizing. </w:t>
      </w:r>
      <w:proofErr w:type="spellStart"/>
      <w:r w:rsidRPr="00FA5329">
        <w:rPr>
          <w:rFonts w:ascii="Times New Roman" w:hAnsi="Times New Roman" w:cs="Times New Roman"/>
          <w:sz w:val="24"/>
          <w:szCs w:val="24"/>
        </w:rPr>
        <w:t>Braz</w:t>
      </w:r>
      <w:proofErr w:type="spellEnd"/>
      <w:r w:rsidRPr="00FA5329">
        <w:rPr>
          <w:rFonts w:ascii="Times New Roman" w:hAnsi="Times New Roman" w:cs="Times New Roman"/>
          <w:sz w:val="24"/>
          <w:szCs w:val="24"/>
        </w:rPr>
        <w:t xml:space="preserve"> and Gilmore (2006) situate the Delano II case study within th</w:t>
      </w:r>
      <w:r w:rsidRPr="00FA5329">
        <w:rPr>
          <w:rFonts w:ascii="Times New Roman" w:hAnsi="Times New Roman" w:cs="Times New Roman"/>
          <w:sz w:val="24"/>
          <w:szCs w:val="24"/>
        </w:rPr>
        <w:t>e ongoing fight to halt the massive expansion of prisons and incarceration in California since the early 1980s, to document and reveal the radical potential of coalitional strategies like those developed throughout the Delano II campaign. Similarly, Gilmor</w:t>
      </w:r>
      <w:r w:rsidRPr="00FA5329">
        <w:rPr>
          <w:rFonts w:ascii="Times New Roman" w:hAnsi="Times New Roman" w:cs="Times New Roman"/>
          <w:sz w:val="24"/>
          <w:szCs w:val="24"/>
        </w:rPr>
        <w:t>e (2008) frames the campaign in terms of the community organizing possibilities that emerge when cross-issue coalition building--in this case, around environmental justice principles--produces shifts in political subjectivities that allow for stretching an</w:t>
      </w:r>
      <w:r w:rsidRPr="00FA5329">
        <w:rPr>
          <w:rFonts w:ascii="Times New Roman" w:hAnsi="Times New Roman" w:cs="Times New Roman"/>
          <w:sz w:val="24"/>
          <w:szCs w:val="24"/>
        </w:rPr>
        <w:t xml:space="preserve">d reworking existing understandings of the political landscape, to develop new structures and social relations for understanding and engaging social justice struggles. </w:t>
      </w:r>
    </w:p>
    <w:p w14:paraId="19A375FD"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 xml:space="preserve">Building on this previous scholarship, I am interested in how the structure of the EIA </w:t>
      </w:r>
      <w:r w:rsidRPr="00FA5329">
        <w:rPr>
          <w:rFonts w:ascii="Times New Roman" w:hAnsi="Times New Roman" w:cs="Times New Roman"/>
          <w:sz w:val="24"/>
          <w:szCs w:val="24"/>
        </w:rPr>
        <w:t xml:space="preserve">process facilitates these important forms of </w:t>
      </w:r>
      <w:proofErr w:type="gramStart"/>
      <w:r w:rsidRPr="00FA5329">
        <w:rPr>
          <w:rFonts w:ascii="Times New Roman" w:hAnsi="Times New Roman" w:cs="Times New Roman"/>
          <w:sz w:val="24"/>
          <w:szCs w:val="24"/>
          <w:highlight w:val="yellow"/>
        </w:rPr>
        <w:t>coalitional</w:t>
      </w:r>
      <w:r w:rsidRPr="00FA5329">
        <w:rPr>
          <w:rFonts w:ascii="Times New Roman" w:hAnsi="Times New Roman" w:cs="Times New Roman"/>
          <w:color w:val="4C4728"/>
          <w:sz w:val="24"/>
          <w:szCs w:val="24"/>
          <w:highlight w:val="yellow"/>
        </w:rPr>
        <w:t>[</w:t>
      </w:r>
      <w:proofErr w:type="gramEnd"/>
      <w:r w:rsidRPr="00FA5329">
        <w:rPr>
          <w:rFonts w:ascii="Times New Roman" w:hAnsi="Times New Roman" w:cs="Times New Roman"/>
          <w:color w:val="4C4728"/>
          <w:sz w:val="24"/>
          <w:szCs w:val="24"/>
        </w:rPr>
        <w:t xml:space="preserve"> check citation re: </w:t>
      </w:r>
      <w:proofErr w:type="spellStart"/>
      <w:r w:rsidRPr="00FA5329">
        <w:rPr>
          <w:rFonts w:ascii="Times New Roman" w:hAnsi="Times New Roman" w:cs="Times New Roman"/>
          <w:color w:val="4C4728"/>
          <w:sz w:val="24"/>
          <w:szCs w:val="24"/>
        </w:rPr>
        <w:t>angela</w:t>
      </w:r>
      <w:proofErr w:type="spellEnd"/>
      <w:r w:rsidRPr="00FA5329">
        <w:rPr>
          <w:rFonts w:ascii="Times New Roman" w:hAnsi="Times New Roman" w:cs="Times New Roman"/>
          <w:color w:val="4C4728"/>
          <w:sz w:val="24"/>
          <w:szCs w:val="24"/>
        </w:rPr>
        <w:t xml:space="preserve"> </w:t>
      </w:r>
      <w:proofErr w:type="spellStart"/>
      <w:r w:rsidRPr="00FA5329">
        <w:rPr>
          <w:rFonts w:ascii="Times New Roman" w:hAnsi="Times New Roman" w:cs="Times New Roman"/>
          <w:color w:val="4C4728"/>
          <w:sz w:val="24"/>
          <w:szCs w:val="24"/>
        </w:rPr>
        <w:t>davis</w:t>
      </w:r>
      <w:proofErr w:type="spellEnd"/>
      <w:r w:rsidRPr="00FA5329">
        <w:rPr>
          <w:rFonts w:ascii="Times New Roman" w:hAnsi="Times New Roman" w:cs="Times New Roman"/>
          <w:color w:val="4C4728"/>
          <w:sz w:val="24"/>
          <w:szCs w:val="24"/>
        </w:rPr>
        <w:t>]</w:t>
      </w:r>
      <w:r w:rsidRPr="00FA5329">
        <w:rPr>
          <w:rFonts w:ascii="Times New Roman" w:hAnsi="Times New Roman" w:cs="Times New Roman"/>
          <w:sz w:val="24"/>
          <w:szCs w:val="24"/>
        </w:rPr>
        <w:t xml:space="preserve"> politics, as well as the limits and contradictions to social justice organizing through this platform. The broad scope of the EIA process, and its embedded public fe</w:t>
      </w:r>
      <w:r w:rsidRPr="00FA5329">
        <w:rPr>
          <w:rFonts w:ascii="Times New Roman" w:hAnsi="Times New Roman" w:cs="Times New Roman"/>
          <w:sz w:val="24"/>
          <w:szCs w:val="24"/>
        </w:rPr>
        <w:t>edback mechanisms seem to provide an intrinsic opportunity for coalition building and the development of unexpected political alliances such as those foregrounded in the previously discussed studies (</w:t>
      </w:r>
      <w:proofErr w:type="spellStart"/>
      <w:r w:rsidRPr="00FA5329">
        <w:rPr>
          <w:rFonts w:ascii="Times New Roman" w:hAnsi="Times New Roman" w:cs="Times New Roman"/>
          <w:sz w:val="24"/>
          <w:szCs w:val="24"/>
        </w:rPr>
        <w:t>Braz</w:t>
      </w:r>
      <w:proofErr w:type="spellEnd"/>
      <w:r w:rsidRPr="00FA5329">
        <w:rPr>
          <w:rFonts w:ascii="Times New Roman" w:hAnsi="Times New Roman" w:cs="Times New Roman"/>
          <w:sz w:val="24"/>
          <w:szCs w:val="24"/>
        </w:rPr>
        <w:t xml:space="preserve"> and Gilmore [2006], Gilmore [2008]). Yet the extent</w:t>
      </w:r>
      <w:r w:rsidRPr="00FA5329">
        <w:rPr>
          <w:rFonts w:ascii="Times New Roman" w:hAnsi="Times New Roman" w:cs="Times New Roman"/>
          <w:sz w:val="24"/>
          <w:szCs w:val="24"/>
        </w:rPr>
        <w:t xml:space="preserve"> to which these </w:t>
      </w:r>
      <w:r w:rsidRPr="00FA5329">
        <w:rPr>
          <w:rFonts w:ascii="Times New Roman" w:hAnsi="Times New Roman" w:cs="Times New Roman"/>
          <w:sz w:val="24"/>
          <w:szCs w:val="24"/>
          <w:highlight w:val="yellow"/>
        </w:rPr>
        <w:t>coalitions</w:t>
      </w:r>
      <w:r w:rsidRPr="00FA5329">
        <w:rPr>
          <w:rFonts w:ascii="Times New Roman" w:hAnsi="Times New Roman" w:cs="Times New Roman"/>
          <w:sz w:val="24"/>
          <w:szCs w:val="24"/>
        </w:rPr>
        <w:t xml:space="preserve"> can engage the EIA process is </w:t>
      </w:r>
      <w:r w:rsidRPr="00FA5329">
        <w:rPr>
          <w:rFonts w:ascii="Times New Roman" w:hAnsi="Times New Roman" w:cs="Times New Roman"/>
          <w:sz w:val="24"/>
          <w:szCs w:val="24"/>
        </w:rPr>
        <w:lastRenderedPageBreak/>
        <w:t xml:space="preserve">constrained by the legal basis for administrative review (based on the APA and subsequent case law) and the limited mechanics of NEPA as a mode of governance and form of public policy. Retracing the </w:t>
      </w:r>
      <w:r w:rsidRPr="00FA5329">
        <w:rPr>
          <w:rFonts w:ascii="Times New Roman" w:hAnsi="Times New Roman" w:cs="Times New Roman"/>
          <w:sz w:val="24"/>
          <w:szCs w:val="24"/>
        </w:rPr>
        <w:t>story of the campaign to stop the Delano II prison construction illustrates both the legal terrain and governance mechanisms of NEPA, within the context of stretching the political reach of NEPA as a platform for social and environmental justice.</w:t>
      </w:r>
    </w:p>
    <w:p w14:paraId="2EF21C11"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NEPA (and</w:t>
      </w:r>
      <w:r w:rsidRPr="00FA5329">
        <w:rPr>
          <w:rFonts w:ascii="Times New Roman" w:hAnsi="Times New Roman" w:cs="Times New Roman"/>
          <w:sz w:val="24"/>
          <w:szCs w:val="24"/>
        </w:rPr>
        <w:t xml:space="preserve"> state NEPAs like CEQA) provides one of the few enduring avenues for legal challenges to proposed state actions, while other major legal avenues such as the endangered species act and national historic preservation act, often operate in conjunction with, a</w:t>
      </w:r>
      <w:r w:rsidRPr="00FA5329">
        <w:rPr>
          <w:rFonts w:ascii="Times New Roman" w:hAnsi="Times New Roman" w:cs="Times New Roman"/>
          <w:sz w:val="24"/>
          <w:szCs w:val="24"/>
        </w:rPr>
        <w:t xml:space="preserve">nd through similar mechanisms as NEPA. Exploring the </w:t>
      </w:r>
      <w:r w:rsidRPr="00FA5329">
        <w:rPr>
          <w:rFonts w:ascii="Times New Roman" w:hAnsi="Times New Roman" w:cs="Times New Roman"/>
          <w:sz w:val="24"/>
          <w:szCs w:val="24"/>
          <w:highlight w:val="yellow"/>
        </w:rPr>
        <w:t>political structuring</w:t>
      </w:r>
      <w:r w:rsidRPr="00FA5329">
        <w:rPr>
          <w:rFonts w:ascii="Times New Roman" w:hAnsi="Times New Roman" w:cs="Times New Roman"/>
          <w:sz w:val="24"/>
          <w:szCs w:val="24"/>
        </w:rPr>
        <w:t xml:space="preserve"> (as opposed to a strictly legal interpretation) of legal challenges to the EIA process sheds some light on the resilience of NEPA, </w:t>
      </w:r>
      <w:r w:rsidRPr="00FA5329">
        <w:rPr>
          <w:rFonts w:ascii="Times New Roman" w:hAnsi="Times New Roman" w:cs="Times New Roman"/>
          <w:sz w:val="24"/>
          <w:szCs w:val="24"/>
          <w:highlight w:val="yellow"/>
        </w:rPr>
        <w:t xml:space="preserve">and also serves as a primer on actually engaging </w:t>
      </w:r>
      <w:r w:rsidRPr="00FA5329">
        <w:rPr>
          <w:rFonts w:ascii="Times New Roman" w:hAnsi="Times New Roman" w:cs="Times New Roman"/>
          <w:sz w:val="24"/>
          <w:szCs w:val="24"/>
          <w:highlight w:val="yellow"/>
        </w:rPr>
        <w:t>EIA-based litigation</w:t>
      </w:r>
      <w:r w:rsidRPr="00FA5329">
        <w:rPr>
          <w:rFonts w:ascii="Times New Roman" w:hAnsi="Times New Roman" w:cs="Times New Roman"/>
          <w:sz w:val="24"/>
          <w:szCs w:val="24"/>
        </w:rPr>
        <w:t xml:space="preserve">. </w:t>
      </w:r>
    </w:p>
    <w:p w14:paraId="192B71A6"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So how might we understand the resilience of NEPA and the EIA process despite its reputation as, on the one hand, a bureaucratic and procedural headache for state agencies and developers, and on the other hand, a merely procedural hu</w:t>
      </w:r>
      <w:r w:rsidRPr="00FA5329">
        <w:rPr>
          <w:rFonts w:ascii="Times New Roman" w:hAnsi="Times New Roman" w:cs="Times New Roman"/>
          <w:sz w:val="24"/>
          <w:szCs w:val="24"/>
        </w:rPr>
        <w:t xml:space="preserve">rdle that is easily steamrolled by administrative, legislative, or executive powers? </w:t>
      </w:r>
    </w:p>
    <w:p w14:paraId="32B3ACFF"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These previous articles explained the outcomes of the organizing efforts; I’m interested here in understanding how and why those outcomes aren’t exceptional, but also sh</w:t>
      </w:r>
      <w:r w:rsidRPr="00FA5329">
        <w:rPr>
          <w:rFonts w:ascii="Times New Roman" w:hAnsi="Times New Roman" w:cs="Times New Roman"/>
          <w:sz w:val="24"/>
          <w:szCs w:val="24"/>
        </w:rPr>
        <w:t>ouldn’t be expected. Rather, that they are the product of multifaceted organizing efforts and careful political framing. The litigation against the CDC depended upon ecologically specific conditions, but building a case should be geographically portable in</w:t>
      </w:r>
      <w:r w:rsidRPr="00FA5329">
        <w:rPr>
          <w:rFonts w:ascii="Times New Roman" w:hAnsi="Times New Roman" w:cs="Times New Roman"/>
          <w:sz w:val="24"/>
          <w:szCs w:val="24"/>
        </w:rPr>
        <w:t xml:space="preserve"> terms of the organizing strategies and issue framing. This is because the underlying environmental justice framework promotes a structural analysis of the conditions of oppression, and thus an analysis of who, how, what, and where of oppositional campaign</w:t>
      </w:r>
      <w:r w:rsidRPr="00FA5329">
        <w:rPr>
          <w:rFonts w:ascii="Times New Roman" w:hAnsi="Times New Roman" w:cs="Times New Roman"/>
          <w:sz w:val="24"/>
          <w:szCs w:val="24"/>
        </w:rPr>
        <w:t>s.</w:t>
      </w:r>
    </w:p>
    <w:p w14:paraId="32007540"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lastRenderedPageBreak/>
        <w:t xml:space="preserve">For thousands of years, the </w:t>
      </w:r>
      <w:proofErr w:type="spellStart"/>
      <w:r w:rsidRPr="00FA5329">
        <w:rPr>
          <w:rFonts w:ascii="Times New Roman" w:hAnsi="Times New Roman" w:cs="Times New Roman"/>
          <w:sz w:val="24"/>
          <w:szCs w:val="24"/>
        </w:rPr>
        <w:t>Paleuyami</w:t>
      </w:r>
      <w:proofErr w:type="spellEnd"/>
      <w:r w:rsidRPr="00FA5329">
        <w:rPr>
          <w:rFonts w:ascii="Times New Roman" w:hAnsi="Times New Roman" w:cs="Times New Roman"/>
          <w:sz w:val="24"/>
          <w:szCs w:val="24"/>
        </w:rPr>
        <w:t xml:space="preserve"> and other tribes of </w:t>
      </w:r>
      <w:proofErr w:type="spellStart"/>
      <w:r w:rsidRPr="00FA5329">
        <w:rPr>
          <w:rFonts w:ascii="Times New Roman" w:hAnsi="Times New Roman" w:cs="Times New Roman"/>
          <w:sz w:val="24"/>
          <w:szCs w:val="24"/>
        </w:rPr>
        <w:t>Yokuts</w:t>
      </w:r>
      <w:proofErr w:type="spellEnd"/>
      <w:r w:rsidRPr="00FA5329">
        <w:rPr>
          <w:rFonts w:ascii="Times New Roman" w:hAnsi="Times New Roman" w:cs="Times New Roman"/>
          <w:sz w:val="24"/>
          <w:szCs w:val="24"/>
        </w:rPr>
        <w:t xml:space="preserve"> and </w:t>
      </w:r>
      <w:proofErr w:type="spellStart"/>
      <w:r w:rsidRPr="00FA5329">
        <w:rPr>
          <w:rFonts w:ascii="Times New Roman" w:hAnsi="Times New Roman" w:cs="Times New Roman"/>
          <w:sz w:val="24"/>
          <w:szCs w:val="24"/>
        </w:rPr>
        <w:t>Shoshonean</w:t>
      </w:r>
      <w:proofErr w:type="spellEnd"/>
      <w:r w:rsidRPr="00FA5329">
        <w:rPr>
          <w:rFonts w:ascii="Times New Roman" w:hAnsi="Times New Roman" w:cs="Times New Roman"/>
          <w:sz w:val="24"/>
          <w:szCs w:val="24"/>
        </w:rPr>
        <w:t xml:space="preserve"> peoples</w:t>
      </w:r>
      <w:r w:rsidRPr="00FA5329">
        <w:rPr>
          <w:rFonts w:ascii="Times New Roman" w:hAnsi="Times New Roman" w:cs="Times New Roman"/>
          <w:sz w:val="24"/>
          <w:szCs w:val="24"/>
          <w:vertAlign w:val="superscript"/>
        </w:rPr>
        <w:footnoteReference w:id="2"/>
      </w:r>
      <w:r w:rsidRPr="00FA5329">
        <w:rPr>
          <w:rFonts w:ascii="Times New Roman" w:hAnsi="Times New Roman" w:cs="Times New Roman"/>
          <w:sz w:val="24"/>
          <w:szCs w:val="24"/>
        </w:rPr>
        <w:t xml:space="preserve"> prospered throughout California’s southern San Joaquin Valley--the vast stretch of fertile lands nestled between the Tule River, Sierra Nevada Mountains, Tehachapi </w:t>
      </w:r>
      <w:r w:rsidRPr="00FA5329">
        <w:rPr>
          <w:rFonts w:ascii="Times New Roman" w:hAnsi="Times New Roman" w:cs="Times New Roman"/>
          <w:sz w:val="24"/>
          <w:szCs w:val="24"/>
        </w:rPr>
        <w:t>Mountains, and Pacific Coastal Mountains, including the area now incorporated as the City of Delano (</w:t>
      </w:r>
      <w:r w:rsidRPr="00FA5329">
        <w:rPr>
          <w:rFonts w:ascii="Times New Roman" w:hAnsi="Times New Roman" w:cs="Times New Roman"/>
          <w:sz w:val="24"/>
          <w:szCs w:val="24"/>
          <w:highlight w:val="yellow"/>
        </w:rPr>
        <w:t xml:space="preserve">Kroeber 1907a, 1907b, 1925; </w:t>
      </w:r>
      <w:proofErr w:type="spellStart"/>
      <w:r w:rsidRPr="00FA5329">
        <w:rPr>
          <w:rFonts w:ascii="Times New Roman" w:hAnsi="Times New Roman" w:cs="Times New Roman"/>
          <w:sz w:val="24"/>
          <w:szCs w:val="24"/>
          <w:highlight w:val="yellow"/>
        </w:rPr>
        <w:t>Spier</w:t>
      </w:r>
      <w:proofErr w:type="spellEnd"/>
      <w:r w:rsidRPr="00FA5329">
        <w:rPr>
          <w:rFonts w:ascii="Times New Roman" w:hAnsi="Times New Roman" w:cs="Times New Roman"/>
          <w:sz w:val="24"/>
          <w:szCs w:val="24"/>
          <w:highlight w:val="yellow"/>
        </w:rPr>
        <w:t>, 1978</w:t>
      </w:r>
      <w:r w:rsidRPr="00FA5329">
        <w:rPr>
          <w:rFonts w:ascii="Times New Roman" w:hAnsi="Times New Roman" w:cs="Times New Roman"/>
          <w:sz w:val="24"/>
          <w:szCs w:val="24"/>
        </w:rPr>
        <w:t>). The first documented expeditions into the San Joaquin Valley by foreigners were led by Spanish missionaries Pedro</w:t>
      </w:r>
      <w:r w:rsidRPr="00FA5329">
        <w:rPr>
          <w:rFonts w:ascii="Times New Roman" w:hAnsi="Times New Roman" w:cs="Times New Roman"/>
          <w:sz w:val="24"/>
          <w:szCs w:val="24"/>
        </w:rPr>
        <w:t xml:space="preserve"> </w:t>
      </w:r>
      <w:proofErr w:type="spellStart"/>
      <w:r w:rsidRPr="00FA5329">
        <w:rPr>
          <w:rFonts w:ascii="Times New Roman" w:hAnsi="Times New Roman" w:cs="Times New Roman"/>
          <w:sz w:val="24"/>
          <w:szCs w:val="24"/>
        </w:rPr>
        <w:t>Fages</w:t>
      </w:r>
      <w:proofErr w:type="spellEnd"/>
      <w:r w:rsidRPr="00FA5329">
        <w:rPr>
          <w:rFonts w:ascii="Times New Roman" w:hAnsi="Times New Roman" w:cs="Times New Roman"/>
          <w:sz w:val="24"/>
          <w:szCs w:val="24"/>
        </w:rPr>
        <w:t xml:space="preserve"> and Francisco </w:t>
      </w:r>
      <w:proofErr w:type="spellStart"/>
      <w:r w:rsidRPr="00FA5329">
        <w:rPr>
          <w:rFonts w:ascii="Times New Roman" w:hAnsi="Times New Roman" w:cs="Times New Roman"/>
          <w:sz w:val="24"/>
          <w:szCs w:val="24"/>
        </w:rPr>
        <w:t>Garcés</w:t>
      </w:r>
      <w:proofErr w:type="spellEnd"/>
      <w:r w:rsidRPr="00FA5329">
        <w:rPr>
          <w:rFonts w:ascii="Times New Roman" w:hAnsi="Times New Roman" w:cs="Times New Roman"/>
          <w:sz w:val="24"/>
          <w:szCs w:val="24"/>
        </w:rPr>
        <w:t xml:space="preserve"> in 1772 and 1776, respectively (</w:t>
      </w:r>
      <w:proofErr w:type="spellStart"/>
      <w:r w:rsidRPr="00FA5329">
        <w:rPr>
          <w:rFonts w:ascii="Times New Roman" w:hAnsi="Times New Roman" w:cs="Times New Roman"/>
          <w:sz w:val="24"/>
          <w:szCs w:val="24"/>
        </w:rPr>
        <w:t>Garone</w:t>
      </w:r>
      <w:proofErr w:type="spellEnd"/>
      <w:r w:rsidRPr="00FA5329">
        <w:rPr>
          <w:rFonts w:ascii="Times New Roman" w:hAnsi="Times New Roman" w:cs="Times New Roman"/>
          <w:sz w:val="24"/>
          <w:szCs w:val="24"/>
        </w:rPr>
        <w:t xml:space="preserve"> 2011; Brewer 2001). A handful of Spanish, Mexican, and American settlers established ranches and farms throughout the region over the next 75 years, precipitating a sharp decline in indigen</w:t>
      </w:r>
      <w:r w:rsidRPr="00FA5329">
        <w:rPr>
          <w:rFonts w:ascii="Times New Roman" w:hAnsi="Times New Roman" w:cs="Times New Roman"/>
          <w:sz w:val="24"/>
          <w:szCs w:val="24"/>
        </w:rPr>
        <w:t>ous populations</w:t>
      </w:r>
      <w:r w:rsidRPr="00FA5329">
        <w:rPr>
          <w:rFonts w:ascii="Times New Roman" w:hAnsi="Times New Roman" w:cs="Times New Roman"/>
          <w:sz w:val="24"/>
          <w:szCs w:val="24"/>
          <w:vertAlign w:val="superscript"/>
        </w:rPr>
        <w:footnoteReference w:id="3"/>
      </w:r>
      <w:r w:rsidRPr="00FA5329">
        <w:rPr>
          <w:rFonts w:ascii="Times New Roman" w:hAnsi="Times New Roman" w:cs="Times New Roman"/>
          <w:sz w:val="24"/>
          <w:szCs w:val="24"/>
        </w:rPr>
        <w:t xml:space="preserve"> by as much as 75% (</w:t>
      </w:r>
      <w:r w:rsidRPr="00FA5329">
        <w:rPr>
          <w:rFonts w:ascii="Times New Roman" w:hAnsi="Times New Roman" w:cs="Times New Roman"/>
          <w:sz w:val="24"/>
          <w:szCs w:val="24"/>
          <w:highlight w:val="yellow"/>
        </w:rPr>
        <w:t>need citation</w:t>
      </w:r>
      <w:r w:rsidRPr="00FA5329">
        <w:rPr>
          <w:rFonts w:ascii="Times New Roman" w:hAnsi="Times New Roman" w:cs="Times New Roman"/>
          <w:sz w:val="24"/>
          <w:szCs w:val="24"/>
        </w:rPr>
        <w:t>). Following the discovery of gold at Sutter's Mill in 1948, prospectors began scouring the San Joaquin Valley for other mining opportunities, and in 1851</w:t>
      </w:r>
      <w:r w:rsidRPr="00FA5329">
        <w:rPr>
          <w:rFonts w:ascii="Times New Roman" w:hAnsi="Times New Roman" w:cs="Times New Roman"/>
          <w:sz w:val="24"/>
          <w:szCs w:val="24"/>
          <w:vertAlign w:val="superscript"/>
        </w:rPr>
        <w:footnoteReference w:id="4"/>
      </w:r>
      <w:r w:rsidRPr="00FA5329">
        <w:rPr>
          <w:rFonts w:ascii="Times New Roman" w:hAnsi="Times New Roman" w:cs="Times New Roman"/>
          <w:sz w:val="24"/>
          <w:szCs w:val="24"/>
        </w:rPr>
        <w:t>, the discovery of gold in the Greenhorn River led t</w:t>
      </w:r>
      <w:r w:rsidRPr="00FA5329">
        <w:rPr>
          <w:rFonts w:ascii="Times New Roman" w:hAnsi="Times New Roman" w:cs="Times New Roman"/>
          <w:sz w:val="24"/>
          <w:szCs w:val="24"/>
        </w:rPr>
        <w:t>o the Kern River gold rush and a subsequent settlement boom across the Valley through the 1850s (</w:t>
      </w:r>
      <w:proofErr w:type="spellStart"/>
      <w:r w:rsidRPr="00FA5329">
        <w:rPr>
          <w:rFonts w:ascii="Times New Roman" w:hAnsi="Times New Roman" w:cs="Times New Roman"/>
          <w:sz w:val="24"/>
          <w:szCs w:val="24"/>
        </w:rPr>
        <w:t>Vredenburgh</w:t>
      </w:r>
      <w:proofErr w:type="spellEnd"/>
      <w:r w:rsidRPr="00FA5329">
        <w:rPr>
          <w:rFonts w:ascii="Times New Roman" w:hAnsi="Times New Roman" w:cs="Times New Roman"/>
          <w:sz w:val="24"/>
          <w:szCs w:val="24"/>
        </w:rPr>
        <w:t xml:space="preserve"> 1991; Preston 1981). </w:t>
      </w:r>
    </w:p>
    <w:p w14:paraId="569EDE15"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In the wake of the gold rush throughout the Kern River Valley came many new white settlers, many of whom established agricult</w:t>
      </w:r>
      <w:r w:rsidRPr="00FA5329">
        <w:rPr>
          <w:rFonts w:ascii="Times New Roman" w:hAnsi="Times New Roman" w:cs="Times New Roman"/>
          <w:sz w:val="24"/>
          <w:szCs w:val="24"/>
        </w:rPr>
        <w:t>ural settlements on the fertile soils of the greater Tulare basin. Agricultural activities initially consisted primarily of cattle ranching, but later transitioned to intensive wheat production. The wheat boom in particular drove further colonization of th</w:t>
      </w:r>
      <w:r w:rsidRPr="00FA5329">
        <w:rPr>
          <w:rFonts w:ascii="Times New Roman" w:hAnsi="Times New Roman" w:cs="Times New Roman"/>
          <w:sz w:val="24"/>
          <w:szCs w:val="24"/>
        </w:rPr>
        <w:t xml:space="preserve">e Valley, resulting in a massive transformation of the social and environmental </w:t>
      </w:r>
      <w:r w:rsidRPr="00FA5329">
        <w:rPr>
          <w:rFonts w:ascii="Times New Roman" w:hAnsi="Times New Roman" w:cs="Times New Roman"/>
          <w:sz w:val="24"/>
          <w:szCs w:val="24"/>
        </w:rPr>
        <w:lastRenderedPageBreak/>
        <w:t>landscape. At the time of the gold rush, Tulare Lake, situated along the western central edge of the San Joaquin Valley, was the largest areal body of fresh water in the wester</w:t>
      </w:r>
      <w:r w:rsidRPr="00FA5329">
        <w:rPr>
          <w:rFonts w:ascii="Times New Roman" w:hAnsi="Times New Roman" w:cs="Times New Roman"/>
          <w:sz w:val="24"/>
          <w:szCs w:val="24"/>
        </w:rPr>
        <w:t>n part of the continent (Alexander 1874). In the latter part of the 19</w:t>
      </w:r>
      <w:r w:rsidRPr="00FA5329">
        <w:rPr>
          <w:rFonts w:ascii="Times New Roman" w:hAnsi="Times New Roman" w:cs="Times New Roman"/>
          <w:sz w:val="24"/>
          <w:szCs w:val="24"/>
          <w:vertAlign w:val="superscript"/>
        </w:rPr>
        <w:t>th</w:t>
      </w:r>
      <w:r w:rsidRPr="00FA5329">
        <w:rPr>
          <w:rFonts w:ascii="Times New Roman" w:hAnsi="Times New Roman" w:cs="Times New Roman"/>
          <w:sz w:val="24"/>
          <w:szCs w:val="24"/>
        </w:rPr>
        <w:t xml:space="preserve"> century, diversions of the tributary rivers to Tulare Lake for agricultural irrigation led to the disappearance of all of the lake's surface water except in times of floods (Preston 1</w:t>
      </w:r>
      <w:r w:rsidRPr="00FA5329">
        <w:rPr>
          <w:rFonts w:ascii="Times New Roman" w:hAnsi="Times New Roman" w:cs="Times New Roman"/>
          <w:sz w:val="24"/>
          <w:szCs w:val="24"/>
        </w:rPr>
        <w:t>981). A region once home to one of the largest and densest indigenous populations in California had been thoroughly transformed by the influx of agricultural settlers (Preston 1981), and the resulting impact on indigenous populations would only deepen in t</w:t>
      </w:r>
      <w:r w:rsidRPr="00FA5329">
        <w:rPr>
          <w:rFonts w:ascii="Times New Roman" w:hAnsi="Times New Roman" w:cs="Times New Roman"/>
          <w:sz w:val="24"/>
          <w:szCs w:val="24"/>
        </w:rPr>
        <w:t xml:space="preserve">he ensuing years. </w:t>
      </w:r>
    </w:p>
    <w:p w14:paraId="27BAB08F"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 xml:space="preserve">Beginning in the 1850s, environmental change resulting from the nascent agricultural industry in the San Joaquin Valley, coupled with the colonial Manifest Destiny mentality of white ranchers and prospectors, led to significant tensions </w:t>
      </w:r>
      <w:r w:rsidRPr="00FA5329">
        <w:rPr>
          <w:rFonts w:ascii="Times New Roman" w:hAnsi="Times New Roman" w:cs="Times New Roman"/>
          <w:sz w:val="24"/>
          <w:szCs w:val="24"/>
        </w:rPr>
        <w:t xml:space="preserve">with the remaining </w:t>
      </w:r>
      <w:proofErr w:type="spellStart"/>
      <w:r w:rsidRPr="00FA5329">
        <w:rPr>
          <w:rFonts w:ascii="Times New Roman" w:hAnsi="Times New Roman" w:cs="Times New Roman"/>
          <w:sz w:val="24"/>
          <w:szCs w:val="24"/>
        </w:rPr>
        <w:t>Yokuts</w:t>
      </w:r>
      <w:proofErr w:type="spellEnd"/>
      <w:r w:rsidRPr="00FA5329">
        <w:rPr>
          <w:rFonts w:ascii="Times New Roman" w:hAnsi="Times New Roman" w:cs="Times New Roman"/>
          <w:sz w:val="24"/>
          <w:szCs w:val="24"/>
        </w:rPr>
        <w:t xml:space="preserve"> populations and former "Mission" Indians who fled the coast in seek of refuge in the Valley (</w:t>
      </w:r>
      <w:proofErr w:type="spellStart"/>
      <w:r w:rsidRPr="00FA5329">
        <w:rPr>
          <w:rFonts w:ascii="Times New Roman" w:hAnsi="Times New Roman" w:cs="Times New Roman"/>
          <w:sz w:val="24"/>
          <w:szCs w:val="24"/>
        </w:rPr>
        <w:t>Gorenfeld</w:t>
      </w:r>
      <w:proofErr w:type="spellEnd"/>
      <w:r w:rsidRPr="00FA5329">
        <w:rPr>
          <w:rFonts w:ascii="Times New Roman" w:hAnsi="Times New Roman" w:cs="Times New Roman"/>
          <w:sz w:val="24"/>
          <w:szCs w:val="24"/>
        </w:rPr>
        <w:t xml:space="preserve"> 1999). Expanding agricultural land uses, particularly livestock grazing, reduced the availability of environmental resources fo</w:t>
      </w:r>
      <w:r w:rsidRPr="00FA5329">
        <w:rPr>
          <w:rFonts w:ascii="Times New Roman" w:hAnsi="Times New Roman" w:cs="Times New Roman"/>
          <w:sz w:val="24"/>
          <w:szCs w:val="24"/>
        </w:rPr>
        <w:t xml:space="preserve">r the indigenous peoples. As a result, skirmishes and livestock rustling increased, and eventually led to the "Indian War" of 1856, which further drove the </w:t>
      </w:r>
      <w:proofErr w:type="spellStart"/>
      <w:r w:rsidRPr="00FA5329">
        <w:rPr>
          <w:rFonts w:ascii="Times New Roman" w:hAnsi="Times New Roman" w:cs="Times New Roman"/>
          <w:sz w:val="24"/>
          <w:szCs w:val="24"/>
        </w:rPr>
        <w:t>Yokuts</w:t>
      </w:r>
      <w:proofErr w:type="spellEnd"/>
      <w:r w:rsidRPr="00FA5329">
        <w:rPr>
          <w:rFonts w:ascii="Times New Roman" w:hAnsi="Times New Roman" w:cs="Times New Roman"/>
          <w:sz w:val="24"/>
          <w:szCs w:val="24"/>
        </w:rPr>
        <w:t xml:space="preserve"> out of the Valley (</w:t>
      </w:r>
      <w:proofErr w:type="spellStart"/>
      <w:r w:rsidRPr="00FA5329">
        <w:rPr>
          <w:rFonts w:ascii="Times New Roman" w:hAnsi="Times New Roman" w:cs="Times New Roman"/>
          <w:sz w:val="24"/>
          <w:szCs w:val="24"/>
        </w:rPr>
        <w:t>Menefee</w:t>
      </w:r>
      <w:proofErr w:type="spellEnd"/>
      <w:r w:rsidRPr="00FA5329">
        <w:rPr>
          <w:rFonts w:ascii="Times New Roman" w:hAnsi="Times New Roman" w:cs="Times New Roman"/>
          <w:sz w:val="24"/>
          <w:szCs w:val="24"/>
        </w:rPr>
        <w:t xml:space="preserve"> and Dodge 1913; </w:t>
      </w:r>
      <w:proofErr w:type="spellStart"/>
      <w:r w:rsidRPr="00FA5329">
        <w:rPr>
          <w:rFonts w:ascii="Times New Roman" w:hAnsi="Times New Roman" w:cs="Times New Roman"/>
          <w:sz w:val="24"/>
          <w:szCs w:val="24"/>
        </w:rPr>
        <w:t>Gorenfeld</w:t>
      </w:r>
      <w:proofErr w:type="spellEnd"/>
      <w:r w:rsidRPr="00FA5329">
        <w:rPr>
          <w:rFonts w:ascii="Times New Roman" w:hAnsi="Times New Roman" w:cs="Times New Roman"/>
          <w:sz w:val="24"/>
          <w:szCs w:val="24"/>
        </w:rPr>
        <w:t xml:space="preserve"> 1999). Further sealing the fate of the V</w:t>
      </w:r>
      <w:r w:rsidRPr="00FA5329">
        <w:rPr>
          <w:rFonts w:ascii="Times New Roman" w:hAnsi="Times New Roman" w:cs="Times New Roman"/>
          <w:sz w:val="24"/>
          <w:szCs w:val="24"/>
        </w:rPr>
        <w:t>alley under settler domination, the US Department of the Interior conducted a Public Land Survey between 1851 and 1855, which ideologically transformed the lands into parceled commodities, ripe for the extraction of value and further domination through the</w:t>
      </w:r>
      <w:r w:rsidRPr="00FA5329">
        <w:rPr>
          <w:rFonts w:ascii="Times New Roman" w:hAnsi="Times New Roman" w:cs="Times New Roman"/>
          <w:sz w:val="24"/>
          <w:szCs w:val="24"/>
        </w:rPr>
        <w:t xml:space="preserve"> technologies of capitalism (Preston 1981). </w:t>
      </w:r>
    </w:p>
    <w:p w14:paraId="40142B20"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 xml:space="preserve">The Public Land Survey was part of a coordinated effort to secure the Valley for capitalist expansion. In addition to classifying and quantifying the commercial potential of real estate </w:t>
      </w:r>
      <w:r w:rsidRPr="00FA5329">
        <w:rPr>
          <w:rFonts w:ascii="Times New Roman" w:hAnsi="Times New Roman" w:cs="Times New Roman"/>
          <w:sz w:val="24"/>
          <w:szCs w:val="24"/>
        </w:rPr>
        <w:lastRenderedPageBreak/>
        <w:t xml:space="preserve">parcels for agricultural </w:t>
      </w:r>
      <w:r w:rsidRPr="00FA5329">
        <w:rPr>
          <w:rFonts w:ascii="Times New Roman" w:hAnsi="Times New Roman" w:cs="Times New Roman"/>
          <w:sz w:val="24"/>
          <w:szCs w:val="24"/>
        </w:rPr>
        <w:t>uses, the surveys were conducted to identify potential rail routes through the Valley and across the Sierra Nevada Mountains (Preston 1981). The establishment of rail lines throughout the Valley would allow for cheaper transportation of commercial agricult</w:t>
      </w:r>
      <w:r w:rsidRPr="00FA5329">
        <w:rPr>
          <w:rFonts w:ascii="Times New Roman" w:hAnsi="Times New Roman" w:cs="Times New Roman"/>
          <w:sz w:val="24"/>
          <w:szCs w:val="24"/>
        </w:rPr>
        <w:t xml:space="preserve">ural goods, while also allowing for quicker transport of troops to ensure military dominance of the settlers against the remaining indigenous populations still scattered throughout the Valley and foothills. </w:t>
      </w:r>
    </w:p>
    <w:p w14:paraId="60C747E9"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With construction of the transcontinental railro</w:t>
      </w:r>
      <w:r w:rsidRPr="00FA5329">
        <w:rPr>
          <w:rFonts w:ascii="Times New Roman" w:hAnsi="Times New Roman" w:cs="Times New Roman"/>
          <w:sz w:val="24"/>
          <w:szCs w:val="24"/>
        </w:rPr>
        <w:t>ad completed in May 1869, the Central Pacific Railroad Company initiated construction later that year of a rail line down the San Joaquin Valley to eventually connect Sacramento and San Francisco to Los Angeles (</w:t>
      </w:r>
      <w:r w:rsidRPr="00FA5329">
        <w:rPr>
          <w:rFonts w:ascii="Times New Roman" w:hAnsi="Times New Roman" w:cs="Times New Roman"/>
          <w:sz w:val="24"/>
          <w:szCs w:val="24"/>
          <w:highlight w:val="yellow"/>
        </w:rPr>
        <w:t xml:space="preserve">history of </w:t>
      </w:r>
      <w:proofErr w:type="spellStart"/>
      <w:r w:rsidRPr="00FA5329">
        <w:rPr>
          <w:rFonts w:ascii="Times New Roman" w:hAnsi="Times New Roman" w:cs="Times New Roman"/>
          <w:sz w:val="24"/>
          <w:szCs w:val="24"/>
          <w:highlight w:val="yellow"/>
        </w:rPr>
        <w:t>chinese</w:t>
      </w:r>
      <w:proofErr w:type="spellEnd"/>
      <w:r w:rsidRPr="00FA5329">
        <w:rPr>
          <w:rFonts w:ascii="Times New Roman" w:hAnsi="Times New Roman" w:cs="Times New Roman"/>
          <w:sz w:val="24"/>
          <w:szCs w:val="24"/>
          <w:highlight w:val="yellow"/>
        </w:rPr>
        <w:t xml:space="preserve"> in CA…</w:t>
      </w:r>
      <w:r w:rsidRPr="00FA5329">
        <w:rPr>
          <w:rFonts w:ascii="Times New Roman" w:hAnsi="Times New Roman" w:cs="Times New Roman"/>
          <w:sz w:val="24"/>
          <w:szCs w:val="24"/>
        </w:rPr>
        <w:t xml:space="preserve">). Around the same </w:t>
      </w:r>
      <w:r w:rsidRPr="00FA5329">
        <w:rPr>
          <w:rFonts w:ascii="Times New Roman" w:hAnsi="Times New Roman" w:cs="Times New Roman"/>
          <w:sz w:val="24"/>
          <w:szCs w:val="24"/>
        </w:rPr>
        <w:t>time, Central Pacific started a cemetery along the planned route, just south of the border between Tulare and Kern Counties, where many of the rail workers would be buried, including an unmarked mass grave of numerous Chinese laborers killed in a cholera e</w:t>
      </w:r>
      <w:r w:rsidRPr="00FA5329">
        <w:rPr>
          <w:rFonts w:ascii="Times New Roman" w:hAnsi="Times New Roman" w:cs="Times New Roman"/>
          <w:sz w:val="24"/>
          <w:szCs w:val="24"/>
        </w:rPr>
        <w:t>pidemic (</w:t>
      </w:r>
      <w:r w:rsidRPr="00FA5329">
        <w:rPr>
          <w:rFonts w:ascii="Times New Roman" w:hAnsi="Times New Roman" w:cs="Times New Roman"/>
          <w:sz w:val="24"/>
          <w:szCs w:val="24"/>
          <w:highlight w:val="yellow"/>
        </w:rPr>
        <w:t>northern kern cemetery district</w:t>
      </w:r>
      <w:r w:rsidRPr="00FA5329">
        <w:rPr>
          <w:rFonts w:ascii="Times New Roman" w:hAnsi="Times New Roman" w:cs="Times New Roman"/>
          <w:sz w:val="24"/>
          <w:szCs w:val="24"/>
        </w:rPr>
        <w:t xml:space="preserve">). Due to financial troubles, the Southern Pacific Railroad Company, which had been purchased by the “Big Four” controlling shareholders of Central Pacific in 1868, halted construction of the railroad tracks and set </w:t>
      </w:r>
      <w:r w:rsidRPr="00FA5329">
        <w:rPr>
          <w:rFonts w:ascii="Times New Roman" w:hAnsi="Times New Roman" w:cs="Times New Roman"/>
          <w:sz w:val="24"/>
          <w:szCs w:val="24"/>
        </w:rPr>
        <w:t>up a railhead in the vicinity of the cemetery, establishing the town of Delano in 1873, named in honor of Columbus Delano, Secretary of the Interior under President Grant. This rail connection spurred a new wave of growth as investors, homesteaders, and la</w:t>
      </w:r>
      <w:r w:rsidRPr="00FA5329">
        <w:rPr>
          <w:rFonts w:ascii="Times New Roman" w:hAnsi="Times New Roman" w:cs="Times New Roman"/>
          <w:sz w:val="24"/>
          <w:szCs w:val="24"/>
        </w:rPr>
        <w:t xml:space="preserve">borers flocked to Delano to take advantage of the commercial agriculture possibilities opened by the improved connectivity and sense of “security” the railroad line provided for white settlers. </w:t>
      </w:r>
    </w:p>
    <w:p w14:paraId="581E94F4"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sz w:val="24"/>
          <w:szCs w:val="24"/>
        </w:rPr>
      </w:pPr>
      <w:r w:rsidRPr="00FA5329">
        <w:rPr>
          <w:rFonts w:ascii="Times New Roman" w:hAnsi="Times New Roman" w:cs="Times New Roman"/>
          <w:sz w:val="24"/>
          <w:szCs w:val="24"/>
        </w:rPr>
        <w:t>In addition to the railroad and land surveys, two other contr</w:t>
      </w:r>
      <w:r w:rsidRPr="00FA5329">
        <w:rPr>
          <w:rFonts w:ascii="Times New Roman" w:hAnsi="Times New Roman" w:cs="Times New Roman"/>
          <w:sz w:val="24"/>
          <w:szCs w:val="24"/>
        </w:rPr>
        <w:t xml:space="preserve">ibuting factors in the settlement of the Valley were the establishment of irrigational water diversions and the invention of barbed wire fencing. Starting in 1854 near Visalia, large-scale irrigation projects began diverting water </w:t>
      </w:r>
      <w:r w:rsidRPr="00FA5329">
        <w:rPr>
          <w:rFonts w:ascii="Times New Roman" w:hAnsi="Times New Roman" w:cs="Times New Roman"/>
          <w:sz w:val="24"/>
          <w:szCs w:val="24"/>
        </w:rPr>
        <w:lastRenderedPageBreak/>
        <w:t>from the tributaries to T</w:t>
      </w:r>
      <w:r w:rsidRPr="00FA5329">
        <w:rPr>
          <w:rFonts w:ascii="Times New Roman" w:hAnsi="Times New Roman" w:cs="Times New Roman"/>
          <w:sz w:val="24"/>
          <w:szCs w:val="24"/>
        </w:rPr>
        <w:t>ulare Lake in order to increase arable lands, to protect against drought and dry seasons, and by the 1860s, to increase commercial crop yields, especially on smaller farms lacking the economic buffers afforded by scale (Preston 1981). Prior to the No Fence</w:t>
      </w:r>
      <w:r w:rsidRPr="00FA5329">
        <w:rPr>
          <w:rFonts w:ascii="Times New Roman" w:hAnsi="Times New Roman" w:cs="Times New Roman"/>
          <w:sz w:val="24"/>
          <w:szCs w:val="24"/>
        </w:rPr>
        <w:t xml:space="preserve"> Law of 1874 and invention of barbed wire fencing that same year, ranchers largely relied on open range grazing for their stocks of cattle and sheep, both of which were in heavy demand for food and wool, respectively. Prior to that year, the prohibitive co</w:t>
      </w:r>
      <w:r w:rsidRPr="00FA5329">
        <w:rPr>
          <w:rFonts w:ascii="Times New Roman" w:hAnsi="Times New Roman" w:cs="Times New Roman"/>
          <w:sz w:val="24"/>
          <w:szCs w:val="24"/>
        </w:rPr>
        <w:t>st of enclosing farms with fencing effectively discouraged large-scale farming due to the risk of livestock damaging crops; but the new law and inexpensive barbed wire tipped the scales toward agriculture since they allowed farmers to sue ranchers for dama</w:t>
      </w:r>
      <w:r w:rsidRPr="00FA5329">
        <w:rPr>
          <w:rFonts w:ascii="Times New Roman" w:hAnsi="Times New Roman" w:cs="Times New Roman"/>
          <w:sz w:val="24"/>
          <w:szCs w:val="24"/>
        </w:rPr>
        <w:t>ges or confiscate stray livestock, while reducing the cost to enclose farmland (Preston 1981). As a result, wheat farming boomed with the availability of cheap rail transport and eager markets overseas (Preston 1981). However, the wheat boom gradually gave</w:t>
      </w:r>
      <w:r w:rsidRPr="00FA5329">
        <w:rPr>
          <w:rFonts w:ascii="Times New Roman" w:hAnsi="Times New Roman" w:cs="Times New Roman"/>
          <w:sz w:val="24"/>
          <w:szCs w:val="24"/>
        </w:rPr>
        <w:t xml:space="preserve"> way to the expansion of fruit orchards due to the widespread cultivation of wheat elsewhere in the country combined with the high profitability of fruit production (Preston 1981; </w:t>
      </w:r>
      <w:proofErr w:type="spellStart"/>
      <w:r w:rsidRPr="00FA5329">
        <w:rPr>
          <w:rFonts w:ascii="Times New Roman" w:hAnsi="Times New Roman" w:cs="Times New Roman"/>
          <w:sz w:val="24"/>
          <w:szCs w:val="24"/>
        </w:rPr>
        <w:t>Menefee</w:t>
      </w:r>
      <w:proofErr w:type="spellEnd"/>
      <w:r w:rsidRPr="00FA5329">
        <w:rPr>
          <w:rFonts w:ascii="Times New Roman" w:hAnsi="Times New Roman" w:cs="Times New Roman"/>
          <w:sz w:val="24"/>
          <w:szCs w:val="24"/>
        </w:rPr>
        <w:t xml:space="preserve"> and Dodge 1913). Whereas wheat was easily planted and harvested on s</w:t>
      </w:r>
      <w:r w:rsidRPr="00FA5329">
        <w:rPr>
          <w:rFonts w:ascii="Times New Roman" w:hAnsi="Times New Roman" w:cs="Times New Roman"/>
          <w:sz w:val="24"/>
          <w:szCs w:val="24"/>
        </w:rPr>
        <w:t>mall farms, the transition to labor-intensive fruit cultivation established new demands for labor, which would ultimately transform the Valley once more. By the early 20</w:t>
      </w:r>
      <w:r w:rsidRPr="00FA5329">
        <w:rPr>
          <w:rFonts w:ascii="Times New Roman" w:hAnsi="Times New Roman" w:cs="Times New Roman"/>
          <w:sz w:val="24"/>
          <w:szCs w:val="24"/>
          <w:vertAlign w:val="superscript"/>
        </w:rPr>
        <w:t>th</w:t>
      </w:r>
      <w:r w:rsidRPr="00FA5329">
        <w:rPr>
          <w:rFonts w:ascii="Times New Roman" w:hAnsi="Times New Roman" w:cs="Times New Roman"/>
          <w:sz w:val="24"/>
          <w:szCs w:val="24"/>
        </w:rPr>
        <w:t xml:space="preserve"> century, the Valley was (</w:t>
      </w:r>
      <w:r w:rsidRPr="00FA5329">
        <w:rPr>
          <w:rFonts w:ascii="Times New Roman" w:hAnsi="Times New Roman" w:cs="Times New Roman"/>
          <w:sz w:val="24"/>
          <w:szCs w:val="24"/>
          <w:highlight w:val="yellow"/>
        </w:rPr>
        <w:t>some sort of statistic about production and economy</w:t>
      </w:r>
      <w:r w:rsidRPr="00FA5329">
        <w:rPr>
          <w:rFonts w:ascii="Times New Roman" w:hAnsi="Times New Roman" w:cs="Times New Roman"/>
          <w:sz w:val="24"/>
          <w:szCs w:val="24"/>
        </w:rPr>
        <w:t>). In th</w:t>
      </w:r>
      <w:r w:rsidRPr="00FA5329">
        <w:rPr>
          <w:rFonts w:ascii="Times New Roman" w:hAnsi="Times New Roman" w:cs="Times New Roman"/>
          <w:sz w:val="24"/>
          <w:szCs w:val="24"/>
        </w:rPr>
        <w:t>e fields around the City of Delano, dominant crops included table grapes, cotton, sheep, and cattle, supplemented by tree fruits, nuts, and row crops (</w:t>
      </w:r>
      <w:proofErr w:type="spellStart"/>
      <w:r w:rsidRPr="00FA5329">
        <w:rPr>
          <w:rFonts w:ascii="Times New Roman" w:hAnsi="Times New Roman" w:cs="Times New Roman"/>
          <w:sz w:val="24"/>
          <w:szCs w:val="24"/>
        </w:rPr>
        <w:t>delano</w:t>
      </w:r>
      <w:proofErr w:type="spellEnd"/>
      <w:r w:rsidRPr="00FA5329">
        <w:rPr>
          <w:rFonts w:ascii="Times New Roman" w:hAnsi="Times New Roman" w:cs="Times New Roman"/>
          <w:sz w:val="24"/>
          <w:szCs w:val="24"/>
        </w:rPr>
        <w:t xml:space="preserve"> strategic plan). </w:t>
      </w:r>
    </w:p>
    <w:p w14:paraId="28453048"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sz w:val="24"/>
          <w:szCs w:val="24"/>
        </w:rPr>
        <w:t>As the commercial agricultural industry grew in Delano and throughout the San Jo</w:t>
      </w:r>
      <w:r w:rsidRPr="00FA5329">
        <w:rPr>
          <w:rFonts w:ascii="Times New Roman" w:hAnsi="Times New Roman" w:cs="Times New Roman"/>
          <w:sz w:val="24"/>
          <w:szCs w:val="24"/>
        </w:rPr>
        <w:t xml:space="preserve">aquin Valley, so too did the tensions and contradictions of growth premised around racial capitalism. US Census Bureau records indicate that the City of Delano had a small, mostly white population </w:t>
      </w:r>
      <w:r w:rsidRPr="00FA5329">
        <w:rPr>
          <w:rFonts w:ascii="Times New Roman" w:hAnsi="Times New Roman" w:cs="Times New Roman"/>
          <w:sz w:val="24"/>
          <w:szCs w:val="24"/>
        </w:rPr>
        <w:lastRenderedPageBreak/>
        <w:t>of about 800 in 1920</w:t>
      </w:r>
      <w:r w:rsidRPr="00FA5329">
        <w:rPr>
          <w:rFonts w:ascii="Times New Roman" w:hAnsi="Times New Roman" w:cs="Times New Roman"/>
          <w:sz w:val="24"/>
          <w:szCs w:val="24"/>
          <w:vertAlign w:val="superscript"/>
        </w:rPr>
        <w:footnoteReference w:id="5"/>
      </w:r>
      <w:r w:rsidRPr="00FA5329">
        <w:rPr>
          <w:rFonts w:ascii="Times New Roman" w:hAnsi="Times New Roman" w:cs="Times New Roman"/>
          <w:sz w:val="24"/>
          <w:szCs w:val="24"/>
        </w:rPr>
        <w:t xml:space="preserve"> (CA DOF). When the Dust Bowl drought </w:t>
      </w:r>
      <w:r w:rsidRPr="00FA5329">
        <w:rPr>
          <w:rFonts w:ascii="Times New Roman" w:hAnsi="Times New Roman" w:cs="Times New Roman"/>
          <w:sz w:val="24"/>
          <w:szCs w:val="24"/>
        </w:rPr>
        <w:t xml:space="preserve">and dust storms plagued the Great </w:t>
      </w:r>
      <w:proofErr w:type="spellStart"/>
      <w:r w:rsidRPr="00FA5329">
        <w:rPr>
          <w:rFonts w:ascii="Times New Roman" w:hAnsi="Times New Roman" w:cs="Times New Roman"/>
          <w:sz w:val="24"/>
          <w:szCs w:val="24"/>
        </w:rPr>
        <w:t>Plainsin</w:t>
      </w:r>
      <w:proofErr w:type="spellEnd"/>
      <w:r w:rsidRPr="00FA5329">
        <w:rPr>
          <w:rFonts w:ascii="Times New Roman" w:hAnsi="Times New Roman" w:cs="Times New Roman"/>
          <w:sz w:val="24"/>
          <w:szCs w:val="24"/>
        </w:rPr>
        <w:t xml:space="preserve"> the early 1930s, thousands of “Okies” and “</w:t>
      </w:r>
      <w:proofErr w:type="spellStart"/>
      <w:r w:rsidRPr="00FA5329">
        <w:rPr>
          <w:rFonts w:ascii="Times New Roman" w:hAnsi="Times New Roman" w:cs="Times New Roman"/>
          <w:sz w:val="24"/>
          <w:szCs w:val="24"/>
        </w:rPr>
        <w:t>Arkies</w:t>
      </w:r>
      <w:proofErr w:type="spellEnd"/>
      <w:r w:rsidRPr="00FA5329">
        <w:rPr>
          <w:rFonts w:ascii="Times New Roman" w:hAnsi="Times New Roman" w:cs="Times New Roman"/>
          <w:sz w:val="24"/>
          <w:szCs w:val="24"/>
        </w:rPr>
        <w:t xml:space="preserve">” relocated to the San Joaquin Valley, both as fixed settlers and itinerant farm pickers alongside the Mexican, Japanese, and Filipino </w:t>
      </w:r>
      <w:r w:rsidRPr="00FA5329">
        <w:rPr>
          <w:rFonts w:ascii="Times New Roman" w:hAnsi="Times New Roman" w:cs="Times New Roman"/>
          <w:sz w:val="24"/>
          <w:szCs w:val="24"/>
          <w:highlight w:val="yellow"/>
        </w:rPr>
        <w:t>populations that accounted fo</w:t>
      </w:r>
      <w:r w:rsidRPr="00FA5329">
        <w:rPr>
          <w:rFonts w:ascii="Times New Roman" w:hAnsi="Times New Roman" w:cs="Times New Roman"/>
          <w:sz w:val="24"/>
          <w:szCs w:val="24"/>
          <w:highlight w:val="yellow"/>
        </w:rPr>
        <w:t>r upwards of 75% of the agricultural labor force (citation needed, Oakland Museum of California)</w:t>
      </w:r>
      <w:r w:rsidRPr="00FA5329">
        <w:rPr>
          <w:rFonts w:ascii="Times New Roman" w:hAnsi="Times New Roman" w:cs="Times New Roman"/>
          <w:sz w:val="24"/>
          <w:szCs w:val="24"/>
        </w:rPr>
        <w:t>. The influx of white labor via the Dust Bowl, coupled with the effects of the Great Depression, created xenophobic tensions in the agricultural labor market, a</w:t>
      </w:r>
      <w:r w:rsidRPr="00FA5329">
        <w:rPr>
          <w:rFonts w:ascii="Times New Roman" w:hAnsi="Times New Roman" w:cs="Times New Roman"/>
          <w:sz w:val="24"/>
          <w:szCs w:val="24"/>
        </w:rPr>
        <w:t>nd in the early 1930s, state and local government agents, as well as the Federal Bureau of Immigration</w:t>
      </w:r>
      <w:r w:rsidRPr="00FA5329">
        <w:rPr>
          <w:rFonts w:ascii="Times New Roman" w:hAnsi="Times New Roman" w:cs="Times New Roman"/>
          <w:sz w:val="24"/>
          <w:szCs w:val="24"/>
          <w:vertAlign w:val="superscript"/>
        </w:rPr>
        <w:footnoteReference w:id="6"/>
      </w:r>
      <w:r w:rsidRPr="00FA5329">
        <w:rPr>
          <w:rFonts w:ascii="Times New Roman" w:hAnsi="Times New Roman" w:cs="Times New Roman"/>
          <w:sz w:val="24"/>
          <w:szCs w:val="24"/>
        </w:rPr>
        <w:t xml:space="preserve"> coercively pressured or forcefully deported, hundreds of thousands of Mexican and Filipino workers, many of whom were US citizens, to Mexico </w:t>
      </w:r>
      <w:r w:rsidRPr="00FA5329">
        <w:rPr>
          <w:rFonts w:ascii="Times New Roman" w:hAnsi="Times New Roman" w:cs="Times New Roman"/>
          <w:sz w:val="24"/>
          <w:szCs w:val="24"/>
          <w:highlight w:val="yellow"/>
        </w:rPr>
        <w:t>(Oakland Mu</w:t>
      </w:r>
      <w:r w:rsidRPr="00FA5329">
        <w:rPr>
          <w:rFonts w:ascii="Times New Roman" w:hAnsi="Times New Roman" w:cs="Times New Roman"/>
          <w:sz w:val="24"/>
          <w:szCs w:val="24"/>
          <w:highlight w:val="yellow"/>
        </w:rPr>
        <w:t>seum of California 2014)</w:t>
      </w:r>
      <w:r w:rsidRPr="00FA5329">
        <w:rPr>
          <w:rFonts w:ascii="Times New Roman" w:hAnsi="Times New Roman" w:cs="Times New Roman"/>
          <w:sz w:val="24"/>
          <w:szCs w:val="24"/>
        </w:rPr>
        <w:t xml:space="preserve">(INS Records for 1930s Mexican Repatriations | USCIS </w:t>
      </w:r>
      <w:proofErr w:type="spellStart"/>
      <w:r w:rsidRPr="00FA5329">
        <w:rPr>
          <w:rFonts w:ascii="Times New Roman" w:hAnsi="Times New Roman" w:cs="Times New Roman"/>
          <w:sz w:val="24"/>
          <w:szCs w:val="24"/>
        </w:rPr>
        <w:t>n.d.</w:t>
      </w:r>
      <w:proofErr w:type="spellEnd"/>
      <w:r w:rsidRPr="00FA5329">
        <w:rPr>
          <w:rFonts w:ascii="Times New Roman" w:hAnsi="Times New Roman" w:cs="Times New Roman"/>
          <w:sz w:val="24"/>
          <w:szCs w:val="24"/>
        </w:rPr>
        <w:t>)</w:t>
      </w:r>
      <w:r w:rsidRPr="00FA5329">
        <w:rPr>
          <w:rFonts w:ascii="Times New Roman" w:hAnsi="Times New Roman" w:cs="Times New Roman"/>
          <w:kern w:val="1"/>
          <w:sz w:val="24"/>
          <w:szCs w:val="24"/>
          <w:highlight w:val="yellow"/>
        </w:rPr>
        <w:t xml:space="preserve"> (better citation needed</w:t>
      </w:r>
      <w:r w:rsidRPr="00FA5329">
        <w:rPr>
          <w:rFonts w:ascii="Times New Roman" w:hAnsi="Times New Roman" w:cs="Times New Roman"/>
          <w:kern w:val="1"/>
          <w:sz w:val="24"/>
          <w:szCs w:val="24"/>
        </w:rPr>
        <w:t>). Despite the deportations, Delano’s population continued to grow, and by 1940, the official population nearly doubled from that of 1930, most likely</w:t>
      </w:r>
      <w:r w:rsidRPr="00FA5329">
        <w:rPr>
          <w:rFonts w:ascii="Times New Roman" w:hAnsi="Times New Roman" w:cs="Times New Roman"/>
          <w:kern w:val="1"/>
          <w:sz w:val="24"/>
          <w:szCs w:val="24"/>
        </w:rPr>
        <w:t xml:space="preserve"> with a significant undercount of migrant labor. </w:t>
      </w:r>
    </w:p>
    <w:p w14:paraId="0159F341"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Labor shortages during World War II led Franklin Delano Roosevelt to initiate the Mexican Farm Labor Program, or “bracero” guest worker program in 1942, to ensure the continued surplus of low-wage </w:t>
      </w:r>
      <w:r w:rsidRPr="00FA5329">
        <w:rPr>
          <w:rFonts w:ascii="Times New Roman" w:hAnsi="Times New Roman" w:cs="Times New Roman"/>
          <w:kern w:val="1"/>
          <w:sz w:val="24"/>
          <w:szCs w:val="24"/>
        </w:rPr>
        <w:t>agricultural labor, especially in the West Coast including places like Delano. The poorly enforced bracero program led to inhumane living conditions, withheld pay, and mistreatment among farm workers; a large influx of non-contract Mexican farm workers; an</w:t>
      </w:r>
      <w:r w:rsidRPr="00FA5329">
        <w:rPr>
          <w:rFonts w:ascii="Times New Roman" w:hAnsi="Times New Roman" w:cs="Times New Roman"/>
          <w:kern w:val="1"/>
          <w:sz w:val="24"/>
          <w:szCs w:val="24"/>
        </w:rPr>
        <w:t>d virtual collapse of organized labor unions within agriculture (</w:t>
      </w:r>
      <w:r w:rsidRPr="00FA5329">
        <w:rPr>
          <w:rFonts w:ascii="Times New Roman" w:hAnsi="Times New Roman" w:cs="Times New Roman"/>
          <w:kern w:val="1"/>
          <w:sz w:val="24"/>
          <w:szCs w:val="24"/>
          <w:highlight w:val="yellow"/>
        </w:rPr>
        <w:t xml:space="preserve">citations…dissertation, don </w:t>
      </w:r>
      <w:proofErr w:type="spellStart"/>
      <w:r w:rsidRPr="00FA5329">
        <w:rPr>
          <w:rFonts w:ascii="Times New Roman" w:hAnsi="Times New Roman" w:cs="Times New Roman"/>
          <w:kern w:val="1"/>
          <w:sz w:val="24"/>
          <w:szCs w:val="24"/>
          <w:highlight w:val="yellow"/>
        </w:rPr>
        <w:t>mitchell</w:t>
      </w:r>
      <w:proofErr w:type="spellEnd"/>
      <w:r w:rsidRPr="00FA5329">
        <w:rPr>
          <w:rFonts w:ascii="Times New Roman" w:hAnsi="Times New Roman" w:cs="Times New Roman"/>
          <w:kern w:val="1"/>
          <w:sz w:val="24"/>
          <w:szCs w:val="24"/>
          <w:highlight w:val="yellow"/>
        </w:rPr>
        <w:t>, …?</w:t>
      </w:r>
      <w:r w:rsidRPr="00FA5329">
        <w:rPr>
          <w:rFonts w:ascii="Times New Roman" w:hAnsi="Times New Roman" w:cs="Times New Roman"/>
          <w:kern w:val="1"/>
          <w:sz w:val="24"/>
          <w:szCs w:val="24"/>
        </w:rPr>
        <w:t xml:space="preserve">). Yet the bracero program also gave rise to renewed labor militancy, with bracero </w:t>
      </w:r>
      <w:r w:rsidRPr="00FA5329">
        <w:rPr>
          <w:rFonts w:ascii="Times New Roman" w:hAnsi="Times New Roman" w:cs="Times New Roman"/>
          <w:kern w:val="1"/>
          <w:sz w:val="24"/>
          <w:szCs w:val="24"/>
        </w:rPr>
        <w:lastRenderedPageBreak/>
        <w:t>strikes throughout the Northwest, and the efforts of organized labor</w:t>
      </w:r>
      <w:r w:rsidRPr="00FA5329">
        <w:rPr>
          <w:rFonts w:ascii="Times New Roman" w:hAnsi="Times New Roman" w:cs="Times New Roman"/>
          <w:kern w:val="1"/>
          <w:sz w:val="24"/>
          <w:szCs w:val="24"/>
        </w:rPr>
        <w:t xml:space="preserve"> unions contributing to the end of the bracero program in 1964 (</w:t>
      </w:r>
      <w:r w:rsidRPr="00FA5329">
        <w:rPr>
          <w:rFonts w:ascii="Times New Roman" w:hAnsi="Times New Roman" w:cs="Times New Roman"/>
          <w:kern w:val="1"/>
          <w:sz w:val="24"/>
          <w:szCs w:val="24"/>
          <w:highlight w:val="yellow"/>
        </w:rPr>
        <w:t>citations)</w:t>
      </w:r>
      <w:r w:rsidRPr="00FA5329">
        <w:rPr>
          <w:rFonts w:ascii="Times New Roman" w:hAnsi="Times New Roman" w:cs="Times New Roman"/>
          <w:kern w:val="1"/>
          <w:sz w:val="24"/>
          <w:szCs w:val="24"/>
        </w:rPr>
        <w:t>. One of the unions strengthened by militant organizing efforts amongst farm workers was the Agricultural Workers Organizing Committee (AWOC). Three years after César Chávez began se</w:t>
      </w:r>
      <w:r w:rsidRPr="00FA5329">
        <w:rPr>
          <w:rFonts w:ascii="Times New Roman" w:hAnsi="Times New Roman" w:cs="Times New Roman"/>
          <w:kern w:val="1"/>
          <w:sz w:val="24"/>
          <w:szCs w:val="24"/>
        </w:rPr>
        <w:t>rious efforts at organizing farmworkers throughout California’s Central Valley, and on the heels of a successful National Farm Workers Association (NFWA) grape pickers strike at Martin Ranch (</w:t>
      </w:r>
      <w:r w:rsidRPr="00FA5329">
        <w:rPr>
          <w:rFonts w:ascii="Times New Roman" w:hAnsi="Times New Roman" w:cs="Times New Roman"/>
          <w:kern w:val="1"/>
          <w:sz w:val="24"/>
          <w:szCs w:val="24"/>
          <w:highlight w:val="yellow"/>
        </w:rPr>
        <w:t>Chávez 1966</w:t>
      </w:r>
      <w:r w:rsidRPr="00FA5329">
        <w:rPr>
          <w:rFonts w:ascii="Times New Roman" w:hAnsi="Times New Roman" w:cs="Times New Roman"/>
          <w:kern w:val="1"/>
          <w:sz w:val="24"/>
          <w:szCs w:val="24"/>
        </w:rPr>
        <w:t>), the Delano AWOC, comprised primarily of Filipino g</w:t>
      </w:r>
      <w:r w:rsidRPr="00FA5329">
        <w:rPr>
          <w:rFonts w:ascii="Times New Roman" w:hAnsi="Times New Roman" w:cs="Times New Roman"/>
          <w:kern w:val="1"/>
          <w:sz w:val="24"/>
          <w:szCs w:val="24"/>
        </w:rPr>
        <w:t xml:space="preserve">rape pickers, and led by Philip Vera Cruz and Larry </w:t>
      </w:r>
      <w:proofErr w:type="spellStart"/>
      <w:r w:rsidRPr="00FA5329">
        <w:rPr>
          <w:rFonts w:ascii="Times New Roman" w:hAnsi="Times New Roman" w:cs="Times New Roman"/>
          <w:kern w:val="1"/>
          <w:sz w:val="24"/>
          <w:szCs w:val="24"/>
        </w:rPr>
        <w:t>Itliong</w:t>
      </w:r>
      <w:proofErr w:type="spellEnd"/>
      <w:r w:rsidRPr="00FA5329">
        <w:rPr>
          <w:rFonts w:ascii="Times New Roman" w:hAnsi="Times New Roman" w:cs="Times New Roman"/>
          <w:kern w:val="1"/>
          <w:sz w:val="24"/>
          <w:szCs w:val="24"/>
        </w:rPr>
        <w:t xml:space="preserve"> (and Benjamin </w:t>
      </w:r>
      <w:proofErr w:type="spellStart"/>
      <w:r w:rsidRPr="00FA5329">
        <w:rPr>
          <w:rFonts w:ascii="Times New Roman" w:hAnsi="Times New Roman" w:cs="Times New Roman"/>
          <w:kern w:val="1"/>
          <w:sz w:val="24"/>
          <w:szCs w:val="24"/>
        </w:rPr>
        <w:t>Gines</w:t>
      </w:r>
      <w:proofErr w:type="spellEnd"/>
      <w:r w:rsidRPr="00FA5329">
        <w:rPr>
          <w:rFonts w:ascii="Times New Roman" w:hAnsi="Times New Roman" w:cs="Times New Roman"/>
          <w:kern w:val="1"/>
          <w:sz w:val="24"/>
          <w:szCs w:val="24"/>
        </w:rPr>
        <w:t xml:space="preserve"> and Pete Velasco, </w:t>
      </w:r>
      <w:r w:rsidRPr="00FA5329">
        <w:rPr>
          <w:rFonts w:ascii="Times New Roman" w:hAnsi="Times New Roman" w:cs="Times New Roman"/>
          <w:kern w:val="1"/>
          <w:sz w:val="24"/>
          <w:szCs w:val="24"/>
          <w:highlight w:val="yellow"/>
        </w:rPr>
        <w:t xml:space="preserve">see </w:t>
      </w:r>
      <w:proofErr w:type="spellStart"/>
      <w:r w:rsidRPr="00FA5329">
        <w:rPr>
          <w:rFonts w:ascii="Times New Roman" w:hAnsi="Times New Roman" w:cs="Times New Roman"/>
          <w:kern w:val="1"/>
          <w:sz w:val="24"/>
          <w:szCs w:val="24"/>
          <w:highlight w:val="yellow"/>
        </w:rPr>
        <w:t>wikipedia</w:t>
      </w:r>
      <w:proofErr w:type="spellEnd"/>
      <w:r w:rsidRPr="00FA5329">
        <w:rPr>
          <w:rFonts w:ascii="Times New Roman" w:hAnsi="Times New Roman" w:cs="Times New Roman"/>
          <w:kern w:val="1"/>
          <w:sz w:val="24"/>
          <w:szCs w:val="24"/>
          <w:highlight w:val="yellow"/>
        </w:rPr>
        <w:t xml:space="preserve"> citations</w:t>
      </w:r>
      <w:r w:rsidRPr="00FA5329">
        <w:rPr>
          <w:rFonts w:ascii="Times New Roman" w:hAnsi="Times New Roman" w:cs="Times New Roman"/>
          <w:kern w:val="1"/>
          <w:sz w:val="24"/>
          <w:szCs w:val="24"/>
        </w:rPr>
        <w:t>), organized a strike against table grape growers in 1965. They immediately reached out to Chávez for NFWA support, knowing that the ca</w:t>
      </w:r>
      <w:r w:rsidRPr="00FA5329">
        <w:rPr>
          <w:rFonts w:ascii="Times New Roman" w:hAnsi="Times New Roman" w:cs="Times New Roman"/>
          <w:kern w:val="1"/>
          <w:sz w:val="24"/>
          <w:szCs w:val="24"/>
        </w:rPr>
        <w:t xml:space="preserve">mpaign’s success depended on the unified front of Filipino, Mexican, and Chicano laborers, as well as other organizations such as the International </w:t>
      </w:r>
      <w:proofErr w:type="spellStart"/>
      <w:r w:rsidRPr="00FA5329">
        <w:rPr>
          <w:rFonts w:ascii="Times New Roman" w:hAnsi="Times New Roman" w:cs="Times New Roman"/>
          <w:kern w:val="1"/>
          <w:sz w:val="24"/>
          <w:szCs w:val="24"/>
        </w:rPr>
        <w:t>Longshore</w:t>
      </w:r>
      <w:proofErr w:type="spellEnd"/>
      <w:r w:rsidRPr="00FA5329">
        <w:rPr>
          <w:rFonts w:ascii="Times New Roman" w:hAnsi="Times New Roman" w:cs="Times New Roman"/>
          <w:kern w:val="1"/>
          <w:sz w:val="24"/>
          <w:szCs w:val="24"/>
        </w:rPr>
        <w:t xml:space="preserve"> and Warehouse Union. A week after AWOC walked off the fields, NFWA voted in Delano to join the str</w:t>
      </w:r>
      <w:r w:rsidRPr="00FA5329">
        <w:rPr>
          <w:rFonts w:ascii="Times New Roman" w:hAnsi="Times New Roman" w:cs="Times New Roman"/>
          <w:kern w:val="1"/>
          <w:sz w:val="24"/>
          <w:szCs w:val="24"/>
        </w:rPr>
        <w:t>ike, and a year into the campaign, AWOC and NFWA merged, forming the United Farm Workers of America (UFW). The campaign endured for five years, but the UFW emerged victorious, securing contracts with both of the growers in the campaign’s crosshairs, and ma</w:t>
      </w:r>
      <w:r w:rsidRPr="00FA5329">
        <w:rPr>
          <w:rFonts w:ascii="Times New Roman" w:hAnsi="Times New Roman" w:cs="Times New Roman"/>
          <w:kern w:val="1"/>
          <w:sz w:val="24"/>
          <w:szCs w:val="24"/>
        </w:rPr>
        <w:t>rking the first major victory for union organizing amongst farm workers, and setting the tone for the use of a combined strategy of a nonviolent field strike, labor boycott, consumer boycott, marches, and hunger strikes (</w:t>
      </w:r>
      <w:r w:rsidRPr="00FA5329">
        <w:rPr>
          <w:rFonts w:ascii="Times New Roman" w:hAnsi="Times New Roman" w:cs="Times New Roman"/>
          <w:kern w:val="1"/>
          <w:sz w:val="24"/>
          <w:szCs w:val="24"/>
          <w:highlight w:val="yellow"/>
        </w:rPr>
        <w:t>need some citations</w:t>
      </w:r>
      <w:r w:rsidRPr="00FA5329">
        <w:rPr>
          <w:rFonts w:ascii="Times New Roman" w:hAnsi="Times New Roman" w:cs="Times New Roman"/>
          <w:kern w:val="1"/>
          <w:sz w:val="24"/>
          <w:szCs w:val="24"/>
        </w:rPr>
        <w:t>).</w:t>
      </w:r>
    </w:p>
    <w:p w14:paraId="72D5C7D2"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highlight w:val="yellow"/>
        </w:rPr>
      </w:pPr>
      <w:r w:rsidRPr="00FA5329">
        <w:rPr>
          <w:rFonts w:ascii="Times New Roman" w:hAnsi="Times New Roman" w:cs="Times New Roman"/>
          <w:kern w:val="1"/>
          <w:sz w:val="24"/>
          <w:szCs w:val="24"/>
          <w:highlight w:val="yellow"/>
        </w:rPr>
        <w:t>The victory i</w:t>
      </w:r>
      <w:r w:rsidRPr="00FA5329">
        <w:rPr>
          <w:rFonts w:ascii="Times New Roman" w:hAnsi="Times New Roman" w:cs="Times New Roman"/>
          <w:kern w:val="1"/>
          <w:sz w:val="24"/>
          <w:szCs w:val="24"/>
          <w:highlight w:val="yellow"/>
        </w:rPr>
        <w:t>n the table grape strike at Delano marks the birth of the UFW and a significant turning point in farm labor unionization, both of which, in turn, are important dimensions of the solidification of Chicano and Latino political power, particularly within Cali</w:t>
      </w:r>
      <w:r w:rsidRPr="00FA5329">
        <w:rPr>
          <w:rFonts w:ascii="Times New Roman" w:hAnsi="Times New Roman" w:cs="Times New Roman"/>
          <w:kern w:val="1"/>
          <w:sz w:val="24"/>
          <w:szCs w:val="24"/>
          <w:highlight w:val="yellow"/>
        </w:rPr>
        <w:t>fornia. [Include something about this significance over the next quarter century].</w:t>
      </w:r>
    </w:p>
    <w:p w14:paraId="0E5FC0E0"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highlight w:val="yellow"/>
        </w:rPr>
        <w:lastRenderedPageBreak/>
        <w:t>Did environmental policy, in any form, play a role in enabling the settler state? Certainly, in terms of land policy th</w:t>
      </w:r>
      <w:r w:rsidRPr="00FA5329">
        <w:rPr>
          <w:rFonts w:ascii="Times New Roman" w:hAnsi="Times New Roman" w:cs="Times New Roman"/>
          <w:kern w:val="1"/>
          <w:sz w:val="24"/>
          <w:szCs w:val="24"/>
          <w:highlight w:val="yellow"/>
        </w:rPr>
        <w:t>at allowed for prospecting and homesteading. But also things like the change in law about grazing livestock (Preston 1981), which dramatically shaped the social and economic capacities for settlers. By transferring land entitlement away from free-roam ranc</w:t>
      </w:r>
      <w:r w:rsidRPr="00FA5329">
        <w:rPr>
          <w:rFonts w:ascii="Times New Roman" w:hAnsi="Times New Roman" w:cs="Times New Roman"/>
          <w:kern w:val="1"/>
          <w:sz w:val="24"/>
          <w:szCs w:val="24"/>
          <w:highlight w:val="yellow"/>
        </w:rPr>
        <w:t>hers toward farmers, the state enabled the growth of commercial farming, redoubled the commitment of land to enclosure and private ownership, and further transformed the relationship between settlers and indigenous peoples. When farming took hold of the Va</w:t>
      </w:r>
      <w:r w:rsidRPr="00FA5329">
        <w:rPr>
          <w:rFonts w:ascii="Times New Roman" w:hAnsi="Times New Roman" w:cs="Times New Roman"/>
          <w:kern w:val="1"/>
          <w:sz w:val="24"/>
          <w:szCs w:val="24"/>
          <w:highlight w:val="yellow"/>
        </w:rPr>
        <w:t>lley, the</w:t>
      </w:r>
    </w:p>
    <w:p w14:paraId="0A76FA84"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Shortly after the first prison in Delano, North Kern State Prison (NKSP) began accepting inmates in 1993, the </w:t>
      </w:r>
      <w:r w:rsidRPr="00FA5329">
        <w:rPr>
          <w:rFonts w:ascii="Times New Roman" w:hAnsi="Times New Roman" w:cs="Times New Roman"/>
          <w:kern w:val="1"/>
          <w:sz w:val="24"/>
          <w:szCs w:val="24"/>
        </w:rPr>
        <w:t>California Department of Corrections (CDC) began planning for a second state prison within the City of Delano, which it designated the California State Prison-Kern County at Delano II (Delano II). Since the early 1980s, the State of California had been eng</w:t>
      </w:r>
      <w:r w:rsidRPr="00FA5329">
        <w:rPr>
          <w:rFonts w:ascii="Times New Roman" w:hAnsi="Times New Roman" w:cs="Times New Roman"/>
          <w:kern w:val="1"/>
          <w:sz w:val="24"/>
          <w:szCs w:val="24"/>
        </w:rPr>
        <w:t>aged in a prolonged expansion of its prison system, and beds were being filled with new inmates just as fast as they were being constructed. As Ruth Wilson Gilmore explains, the state had found in prisons a “catch all solution to its political and economic</w:t>
      </w:r>
      <w:r w:rsidRPr="00FA5329">
        <w:rPr>
          <w:rFonts w:ascii="Times New Roman" w:hAnsi="Times New Roman" w:cs="Times New Roman"/>
          <w:kern w:val="1"/>
          <w:sz w:val="24"/>
          <w:szCs w:val="24"/>
        </w:rPr>
        <w:t xml:space="preserve"> problems,” and Delano II was to be the latest addition to California’s prison construction boom.</w:t>
      </w:r>
      <w:r w:rsidRPr="00FA5329">
        <w:rPr>
          <w:rFonts w:ascii="Times New Roman" w:hAnsi="Times New Roman" w:cs="Times New Roman"/>
          <w:kern w:val="1"/>
          <w:sz w:val="24"/>
          <w:szCs w:val="24"/>
          <w:vertAlign w:val="superscript"/>
        </w:rPr>
        <w:footnoteReference w:id="7"/>
      </w:r>
      <w:r w:rsidRPr="00FA5329">
        <w:rPr>
          <w:rFonts w:ascii="Times New Roman" w:hAnsi="Times New Roman" w:cs="Times New Roman"/>
          <w:kern w:val="1"/>
          <w:sz w:val="24"/>
          <w:szCs w:val="24"/>
        </w:rPr>
        <w:t xml:space="preserve"> CDC progressed with the planning for Delano II, initiating the environmental review process in the first half of 1994 by completing an environmental impact r</w:t>
      </w:r>
      <w:r w:rsidRPr="00FA5329">
        <w:rPr>
          <w:rFonts w:ascii="Times New Roman" w:hAnsi="Times New Roman" w:cs="Times New Roman"/>
          <w:kern w:val="1"/>
          <w:sz w:val="24"/>
          <w:szCs w:val="24"/>
        </w:rPr>
        <w:t>eport (EIR), the state-level equivalent of the EIS, as required by the California Environmental Quality Act (CEQA), the State of California’s “mini-NEPA” statute. The Delano II EIR initially called for a 400-acre, 4,180 inmate facility with a Level IV maxi</w:t>
      </w:r>
      <w:r w:rsidRPr="00FA5329">
        <w:rPr>
          <w:rFonts w:ascii="Times New Roman" w:hAnsi="Times New Roman" w:cs="Times New Roman"/>
          <w:kern w:val="1"/>
          <w:sz w:val="24"/>
          <w:szCs w:val="24"/>
        </w:rPr>
        <w:t xml:space="preserve">mum </w:t>
      </w:r>
      <w:r w:rsidRPr="00FA5329">
        <w:rPr>
          <w:rFonts w:ascii="Times New Roman" w:hAnsi="Times New Roman" w:cs="Times New Roman"/>
          <w:kern w:val="1"/>
          <w:sz w:val="24"/>
          <w:szCs w:val="24"/>
        </w:rPr>
        <w:lastRenderedPageBreak/>
        <w:t>security designation</w:t>
      </w:r>
      <w:r w:rsidRPr="00FA5329">
        <w:rPr>
          <w:rFonts w:ascii="Times New Roman" w:hAnsi="Times New Roman" w:cs="Times New Roman"/>
          <w:kern w:val="1"/>
          <w:sz w:val="24"/>
          <w:szCs w:val="24"/>
          <w:vertAlign w:val="superscript"/>
        </w:rPr>
        <w:footnoteReference w:id="8"/>
      </w:r>
      <w:r w:rsidRPr="00FA5329">
        <w:rPr>
          <w:rFonts w:ascii="Times New Roman" w:hAnsi="Times New Roman" w:cs="Times New Roman"/>
          <w:kern w:val="1"/>
          <w:sz w:val="24"/>
          <w:szCs w:val="24"/>
        </w:rPr>
        <w:t>, however, the revised EIR that CDC certified in 1995 reduced the plan to 320-acres and 2,200 inmates.</w:t>
      </w:r>
      <w:r w:rsidRPr="00FA5329">
        <w:rPr>
          <w:rFonts w:ascii="Times New Roman" w:hAnsi="Times New Roman" w:cs="Times New Roman"/>
          <w:kern w:val="1"/>
          <w:sz w:val="24"/>
          <w:szCs w:val="24"/>
          <w:vertAlign w:val="superscript"/>
        </w:rPr>
        <w:footnoteReference w:id="9"/>
      </w:r>
    </w:p>
    <w:p w14:paraId="117542B8"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CDC selected Delano as the site for a new California state prison based on [something from the EIR]. The specific plot of land </w:t>
      </w:r>
      <w:r w:rsidRPr="00FA5329">
        <w:rPr>
          <w:rFonts w:ascii="Times New Roman" w:hAnsi="Times New Roman" w:cs="Times New Roman"/>
          <w:kern w:val="1"/>
          <w:sz w:val="24"/>
          <w:szCs w:val="24"/>
        </w:rPr>
        <w:t>CDC selected for the prison is located approximately four miles west of California Highway 99, approximately 2.5 miles west of Delano’s urbanized area, and about half a mile south of the existing North Kern State Prison. The site is formerly agricultural f</w:t>
      </w:r>
      <w:r w:rsidRPr="00FA5329">
        <w:rPr>
          <w:rFonts w:ascii="Times New Roman" w:hAnsi="Times New Roman" w:cs="Times New Roman"/>
          <w:kern w:val="1"/>
          <w:sz w:val="24"/>
          <w:szCs w:val="24"/>
        </w:rPr>
        <w:t>armland, and is surrounded on three sides by productive farmland. [</w:t>
      </w:r>
      <w:r w:rsidRPr="00FA5329">
        <w:rPr>
          <w:rFonts w:ascii="Times New Roman" w:hAnsi="Times New Roman" w:cs="Times New Roman"/>
          <w:kern w:val="1"/>
          <w:sz w:val="24"/>
          <w:szCs w:val="24"/>
          <w:highlight w:val="yellow"/>
        </w:rPr>
        <w:t>How was the land acquired</w:t>
      </w:r>
      <w:proofErr w:type="gramStart"/>
      <w:r w:rsidRPr="00FA5329">
        <w:rPr>
          <w:rFonts w:ascii="Times New Roman" w:hAnsi="Times New Roman" w:cs="Times New Roman"/>
          <w:kern w:val="1"/>
          <w:sz w:val="24"/>
          <w:szCs w:val="24"/>
          <w:highlight w:val="yellow"/>
        </w:rPr>
        <w:t>?</w:t>
      </w:r>
      <w:r w:rsidRPr="00FA5329">
        <w:rPr>
          <w:rFonts w:ascii="Times New Roman" w:hAnsi="Times New Roman" w:cs="Times New Roman"/>
          <w:kern w:val="1"/>
          <w:sz w:val="24"/>
          <w:szCs w:val="24"/>
        </w:rPr>
        <w:t>][</w:t>
      </w:r>
      <w:proofErr w:type="gramEnd"/>
      <w:r w:rsidRPr="00FA5329">
        <w:rPr>
          <w:rFonts w:ascii="Times New Roman" w:hAnsi="Times New Roman" w:cs="Times New Roman"/>
          <w:kern w:val="1"/>
          <w:sz w:val="24"/>
          <w:szCs w:val="24"/>
        </w:rPr>
        <w:t>Additional descriptive information about the prison. Information about siting?]</w:t>
      </w:r>
    </w:p>
    <w:p w14:paraId="5A8D3920"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While the CDC successfully completed its statutory requirements to begin construc</w:t>
      </w:r>
      <w:r w:rsidRPr="00FA5329">
        <w:rPr>
          <w:rFonts w:ascii="Times New Roman" w:hAnsi="Times New Roman" w:cs="Times New Roman"/>
          <w:kern w:val="1"/>
          <w:sz w:val="24"/>
          <w:szCs w:val="24"/>
        </w:rPr>
        <w:t>tion of Delano II in 1995, the plans had to be placed on hold when the state legislature failed to provide funding for the prison. Throughout the first half of the 1990s, California was struck harder by economic recession and recovered much more slowly tha</w:t>
      </w:r>
      <w:r w:rsidRPr="00FA5329">
        <w:rPr>
          <w:rFonts w:ascii="Times New Roman" w:hAnsi="Times New Roman" w:cs="Times New Roman"/>
          <w:kern w:val="1"/>
          <w:sz w:val="24"/>
          <w:szCs w:val="24"/>
        </w:rPr>
        <w:t>n the rest of the US.</w:t>
      </w:r>
      <w:r w:rsidRPr="00FA5329">
        <w:rPr>
          <w:rFonts w:ascii="Times New Roman" w:hAnsi="Times New Roman" w:cs="Times New Roman"/>
          <w:kern w:val="1"/>
          <w:sz w:val="24"/>
          <w:szCs w:val="24"/>
          <w:vertAlign w:val="superscript"/>
        </w:rPr>
        <w:footnoteReference w:id="10"/>
      </w:r>
      <w:r w:rsidRPr="00FA5329">
        <w:rPr>
          <w:rFonts w:ascii="Times New Roman" w:hAnsi="Times New Roman" w:cs="Times New Roman"/>
          <w:i/>
          <w:kern w:val="1"/>
          <w:sz w:val="24"/>
          <w:szCs w:val="24"/>
        </w:rPr>
        <w:t xml:space="preserve"> Furthermore, reductions in military spending following the end of the Cold War had a particularly strong effect on the California economy due to base closures and reduced contracts to the aerospace industry, one of Southern Californi</w:t>
      </w:r>
      <w:r w:rsidRPr="00FA5329">
        <w:rPr>
          <w:rFonts w:ascii="Times New Roman" w:hAnsi="Times New Roman" w:cs="Times New Roman"/>
          <w:i/>
          <w:kern w:val="1"/>
          <w:sz w:val="24"/>
          <w:szCs w:val="24"/>
        </w:rPr>
        <w:t>a’s largest industries.</w:t>
      </w:r>
      <w:r w:rsidRPr="00FA5329">
        <w:rPr>
          <w:rFonts w:ascii="Times New Roman" w:hAnsi="Times New Roman" w:cs="Times New Roman"/>
          <w:i/>
          <w:kern w:val="1"/>
          <w:sz w:val="24"/>
          <w:szCs w:val="24"/>
          <w:vertAlign w:val="superscript"/>
        </w:rPr>
        <w:footnoteReference w:id="11"/>
      </w:r>
      <w:r w:rsidRPr="00FA5329">
        <w:rPr>
          <w:rFonts w:ascii="Times New Roman" w:hAnsi="Times New Roman" w:cs="Times New Roman"/>
          <w:kern w:val="1"/>
          <w:sz w:val="24"/>
          <w:szCs w:val="24"/>
        </w:rPr>
        <w:t xml:space="preserve"> As a result, the state shifted its budget priorities, making significant reductions to spending related to health and welfare, and modest increases in corrections and education spending. However, the roughly 8% increases in correct</w:t>
      </w:r>
      <w:r w:rsidRPr="00FA5329">
        <w:rPr>
          <w:rFonts w:ascii="Times New Roman" w:hAnsi="Times New Roman" w:cs="Times New Roman"/>
          <w:kern w:val="1"/>
          <w:sz w:val="24"/>
          <w:szCs w:val="24"/>
        </w:rPr>
        <w:t xml:space="preserve">ions spending in both the 1994-1995 and 1995-1996 state budgets merely covered the costs associated with </w:t>
      </w:r>
      <w:r w:rsidRPr="00FA5329">
        <w:rPr>
          <w:rFonts w:ascii="Times New Roman" w:hAnsi="Times New Roman" w:cs="Times New Roman"/>
          <w:kern w:val="1"/>
          <w:sz w:val="24"/>
          <w:szCs w:val="24"/>
        </w:rPr>
        <w:lastRenderedPageBreak/>
        <w:t>increasing prison populations, and the projected growth resulting from the “Three Strikes” law enacted in 1994.</w:t>
      </w:r>
      <w:r w:rsidRPr="00FA5329">
        <w:rPr>
          <w:rFonts w:ascii="Times New Roman" w:hAnsi="Times New Roman" w:cs="Times New Roman"/>
          <w:kern w:val="1"/>
          <w:sz w:val="24"/>
          <w:szCs w:val="24"/>
          <w:vertAlign w:val="superscript"/>
        </w:rPr>
        <w:footnoteReference w:id="12"/>
      </w:r>
      <w:r w:rsidRPr="00FA5329">
        <w:rPr>
          <w:rFonts w:ascii="Times New Roman" w:hAnsi="Times New Roman" w:cs="Times New Roman"/>
          <w:kern w:val="1"/>
          <w:sz w:val="24"/>
          <w:szCs w:val="24"/>
        </w:rPr>
        <w:t xml:space="preserve"> Despite projections of continued growt</w:t>
      </w:r>
      <w:r w:rsidRPr="00FA5329">
        <w:rPr>
          <w:rFonts w:ascii="Times New Roman" w:hAnsi="Times New Roman" w:cs="Times New Roman"/>
          <w:kern w:val="1"/>
          <w:sz w:val="24"/>
          <w:szCs w:val="24"/>
        </w:rPr>
        <w:t xml:space="preserve">h in prison populations and overcrowding in existing prisons, the 1995-1996 budget did not allot any funds for the construction of new prisons, including Delano II, so the project was put on indefinite hold pending budgetary approval. </w:t>
      </w:r>
    </w:p>
    <w:p w14:paraId="76D567E0"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Even though prison </w:t>
      </w:r>
      <w:r w:rsidRPr="00FA5329">
        <w:rPr>
          <w:rFonts w:ascii="Times New Roman" w:hAnsi="Times New Roman" w:cs="Times New Roman"/>
          <w:kern w:val="1"/>
          <w:sz w:val="24"/>
          <w:szCs w:val="24"/>
        </w:rPr>
        <w:t>construction ground to a halt in the mid 1990s, the policing and sentencing practices that kept prison beds filled, did not. Despite the long-term trend of decreasing crime rates between the mid-1980s and 2000, the continued growth in California’s prison p</w:t>
      </w:r>
      <w:r w:rsidRPr="00FA5329">
        <w:rPr>
          <w:rFonts w:ascii="Times New Roman" w:hAnsi="Times New Roman" w:cs="Times New Roman"/>
          <w:kern w:val="1"/>
          <w:sz w:val="24"/>
          <w:szCs w:val="24"/>
        </w:rPr>
        <w:t>opulations throughout the 1990s--fueled in part by enactment of the notorious “Three Strikes and You’re Out” law in 1994--led to unsustainable overcrowding. In 1999, the newly elected Democratic Governor Gray Davis indicated his willingness to see the pris</w:t>
      </w:r>
      <w:r w:rsidRPr="00FA5329">
        <w:rPr>
          <w:rFonts w:ascii="Times New Roman" w:hAnsi="Times New Roman" w:cs="Times New Roman"/>
          <w:kern w:val="1"/>
          <w:sz w:val="24"/>
          <w:szCs w:val="24"/>
        </w:rPr>
        <w:t>on system resume its expansion by proposing a budget that allocated $335 million for construction of the Delano II prison and the planning of a second additional prison.</w:t>
      </w:r>
      <w:r w:rsidRPr="00FA5329">
        <w:rPr>
          <w:rFonts w:ascii="Times New Roman" w:hAnsi="Times New Roman" w:cs="Times New Roman"/>
          <w:kern w:val="1"/>
          <w:sz w:val="24"/>
          <w:szCs w:val="24"/>
          <w:vertAlign w:val="superscript"/>
        </w:rPr>
        <w:footnoteReference w:id="13"/>
      </w:r>
      <w:r w:rsidRPr="00FA5329">
        <w:rPr>
          <w:rFonts w:ascii="Times New Roman" w:hAnsi="Times New Roman" w:cs="Times New Roman"/>
          <w:kern w:val="1"/>
          <w:sz w:val="24"/>
          <w:szCs w:val="24"/>
        </w:rPr>
        <w:t xml:space="preserve"> In May 1999, a month before the final budget would be approved by the legislature, Go</w:t>
      </w:r>
      <w:r w:rsidRPr="00FA5329">
        <w:rPr>
          <w:rFonts w:ascii="Times New Roman" w:hAnsi="Times New Roman" w:cs="Times New Roman"/>
          <w:kern w:val="1"/>
          <w:sz w:val="24"/>
          <w:szCs w:val="24"/>
        </w:rPr>
        <w:t>vernor Davis pushed through urgency legislation</w:t>
      </w:r>
      <w:r w:rsidRPr="00FA5329">
        <w:rPr>
          <w:rFonts w:ascii="Times New Roman" w:hAnsi="Times New Roman" w:cs="Times New Roman"/>
          <w:kern w:val="1"/>
          <w:sz w:val="24"/>
          <w:szCs w:val="24"/>
          <w:vertAlign w:val="superscript"/>
        </w:rPr>
        <w:footnoteReference w:id="14"/>
      </w:r>
      <w:r w:rsidRPr="00FA5329">
        <w:rPr>
          <w:rFonts w:ascii="Times New Roman" w:hAnsi="Times New Roman" w:cs="Times New Roman"/>
          <w:kern w:val="1"/>
          <w:sz w:val="24"/>
          <w:szCs w:val="24"/>
        </w:rPr>
        <w:t xml:space="preserve"> allocating over $311 million toward Delano II implementation, including $4 million for the cost of mitigating the prison’s impacts on the municipal government.</w:t>
      </w:r>
      <w:r w:rsidRPr="00FA5329">
        <w:rPr>
          <w:rFonts w:ascii="Times New Roman" w:hAnsi="Times New Roman" w:cs="Times New Roman"/>
          <w:kern w:val="1"/>
          <w:sz w:val="24"/>
          <w:szCs w:val="24"/>
          <w:vertAlign w:val="superscript"/>
        </w:rPr>
        <w:footnoteReference w:id="15"/>
      </w:r>
      <w:r w:rsidRPr="00FA5329">
        <w:rPr>
          <w:rFonts w:ascii="Times New Roman" w:hAnsi="Times New Roman" w:cs="Times New Roman"/>
          <w:kern w:val="1"/>
          <w:sz w:val="24"/>
          <w:szCs w:val="24"/>
        </w:rPr>
        <w:t xml:space="preserve"> </w:t>
      </w:r>
    </w:p>
    <w:p w14:paraId="73FEE1C0"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lastRenderedPageBreak/>
        <w:t>Funding for the prison came in the form of le</w:t>
      </w:r>
      <w:r w:rsidRPr="00FA5329">
        <w:rPr>
          <w:rFonts w:ascii="Times New Roman" w:hAnsi="Times New Roman" w:cs="Times New Roman"/>
          <w:kern w:val="1"/>
          <w:sz w:val="24"/>
          <w:szCs w:val="24"/>
        </w:rPr>
        <w:t>ase-purchase financing and lease-revenue bonds.</w:t>
      </w:r>
      <w:r w:rsidRPr="00FA5329">
        <w:rPr>
          <w:rFonts w:ascii="Times New Roman" w:hAnsi="Times New Roman" w:cs="Times New Roman"/>
          <w:kern w:val="1"/>
          <w:sz w:val="24"/>
          <w:szCs w:val="24"/>
          <w:vertAlign w:val="superscript"/>
        </w:rPr>
        <w:footnoteReference w:id="16"/>
      </w:r>
      <w:r w:rsidRPr="00FA5329">
        <w:rPr>
          <w:rFonts w:ascii="Times New Roman" w:hAnsi="Times New Roman" w:cs="Times New Roman"/>
          <w:kern w:val="1"/>
          <w:sz w:val="24"/>
          <w:szCs w:val="24"/>
        </w:rPr>
        <w:t xml:space="preserve"> This financing plan meant that Delano II, like other prisons built in California since 1985, would be constructed using funds derived from the issuance of specially crafted bonds that don’t require voter app</w:t>
      </w:r>
      <w:r w:rsidRPr="00FA5329">
        <w:rPr>
          <w:rFonts w:ascii="Times New Roman" w:hAnsi="Times New Roman" w:cs="Times New Roman"/>
          <w:kern w:val="1"/>
          <w:sz w:val="24"/>
          <w:szCs w:val="24"/>
        </w:rPr>
        <w:t>roval. Ruth Wilson Gilmore argues that lease-revenue bonds are one of the pieces to the partial “fix” to crises of accumulation that enabled the California prison boom over the last two decades of the twentieth century.</w:t>
      </w:r>
      <w:r w:rsidRPr="00FA5329">
        <w:rPr>
          <w:rFonts w:ascii="Times New Roman" w:hAnsi="Times New Roman" w:cs="Times New Roman"/>
          <w:kern w:val="1"/>
          <w:sz w:val="24"/>
          <w:szCs w:val="24"/>
          <w:vertAlign w:val="superscript"/>
        </w:rPr>
        <w:footnoteReference w:id="17"/>
      </w:r>
      <w:r w:rsidRPr="00FA5329">
        <w:rPr>
          <w:rFonts w:ascii="Times New Roman" w:hAnsi="Times New Roman" w:cs="Times New Roman"/>
          <w:kern w:val="1"/>
          <w:sz w:val="24"/>
          <w:szCs w:val="24"/>
        </w:rPr>
        <w:t xml:space="preserve"> The way that lease-revenue bonds wo</w:t>
      </w:r>
      <w:r w:rsidRPr="00FA5329">
        <w:rPr>
          <w:rFonts w:ascii="Times New Roman" w:hAnsi="Times New Roman" w:cs="Times New Roman"/>
          <w:kern w:val="1"/>
          <w:sz w:val="24"/>
          <w:szCs w:val="24"/>
        </w:rPr>
        <w:t>rk is first the State Public Works Board issues bonds to pay for construction costs of a new prison (or university expansion). The Public Works Board then leases the prison to the CDC, who, in turn, uses its tax-funded operating budget to cover the lease p</w:t>
      </w:r>
      <w:r w:rsidRPr="00FA5329">
        <w:rPr>
          <w:rFonts w:ascii="Times New Roman" w:hAnsi="Times New Roman" w:cs="Times New Roman"/>
          <w:kern w:val="1"/>
          <w:sz w:val="24"/>
          <w:szCs w:val="24"/>
        </w:rPr>
        <w:t>ayments back to the Public Works Board. The Public Works Board uses the lease payments cover the bond repayments to the private investors holding the bonds. In essence, the state manages to lease the prison to itself to shift the prison financing from vote</w:t>
      </w:r>
      <w:r w:rsidRPr="00FA5329">
        <w:rPr>
          <w:rFonts w:ascii="Times New Roman" w:hAnsi="Times New Roman" w:cs="Times New Roman"/>
          <w:kern w:val="1"/>
          <w:sz w:val="24"/>
          <w:szCs w:val="24"/>
        </w:rPr>
        <w:t>r-approved municipal bonds to the riskier, higher-interest lease-revenue bonds approved only by the legislature and governor. Gilmore explains that this process also establishes prisons as an infrastructural securities investment mechanism with higher retu</w:t>
      </w:r>
      <w:r w:rsidRPr="00FA5329">
        <w:rPr>
          <w:rFonts w:ascii="Times New Roman" w:hAnsi="Times New Roman" w:cs="Times New Roman"/>
          <w:kern w:val="1"/>
          <w:sz w:val="24"/>
          <w:szCs w:val="24"/>
        </w:rPr>
        <w:t>rns for private firms than standard municipal bonds with little added investment risk, and a whole lot less potential for political fallout from the increased tax burden of voter-approved municipal bonds.</w:t>
      </w:r>
      <w:r w:rsidRPr="00FA5329">
        <w:rPr>
          <w:rFonts w:ascii="Times New Roman" w:hAnsi="Times New Roman" w:cs="Times New Roman"/>
          <w:kern w:val="1"/>
          <w:sz w:val="24"/>
          <w:szCs w:val="24"/>
          <w:vertAlign w:val="superscript"/>
        </w:rPr>
        <w:footnoteReference w:id="18"/>
      </w:r>
      <w:r w:rsidRPr="00FA5329">
        <w:rPr>
          <w:rFonts w:ascii="Times New Roman" w:hAnsi="Times New Roman" w:cs="Times New Roman"/>
          <w:kern w:val="1"/>
          <w:sz w:val="24"/>
          <w:szCs w:val="24"/>
        </w:rPr>
        <w:t xml:space="preserve"> Unsurprisingly, this is the same financial arrange</w:t>
      </w:r>
      <w:r w:rsidRPr="00FA5329">
        <w:rPr>
          <w:rFonts w:ascii="Times New Roman" w:hAnsi="Times New Roman" w:cs="Times New Roman"/>
          <w:kern w:val="1"/>
          <w:sz w:val="24"/>
          <w:szCs w:val="24"/>
        </w:rPr>
        <w:t>ment that allowed the state to bankroll capital construction outlays in its public universities in order to funnel federally financed student debt into bond repayments to private investment firms. These financial mechanisms help illustrate the complex ways</w:t>
      </w:r>
      <w:r w:rsidRPr="00FA5329">
        <w:rPr>
          <w:rFonts w:ascii="Times New Roman" w:hAnsi="Times New Roman" w:cs="Times New Roman"/>
          <w:kern w:val="1"/>
          <w:sz w:val="24"/>
          <w:szCs w:val="24"/>
        </w:rPr>
        <w:t xml:space="preserve"> in which publicly funded prisons and universities </w:t>
      </w:r>
      <w:r w:rsidRPr="00FA5329">
        <w:rPr>
          <w:rFonts w:ascii="Times New Roman" w:hAnsi="Times New Roman" w:cs="Times New Roman"/>
          <w:kern w:val="1"/>
          <w:sz w:val="24"/>
          <w:szCs w:val="24"/>
        </w:rPr>
        <w:lastRenderedPageBreak/>
        <w:t>actually produce federally backed securitized profits through the racialized production of misery in incarcerated and indebted populations.</w:t>
      </w:r>
    </w:p>
    <w:p w14:paraId="142779D0"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With budgetary green light in the form of legislature-approved le</w:t>
      </w:r>
      <w:r w:rsidRPr="00FA5329">
        <w:rPr>
          <w:rFonts w:ascii="Times New Roman" w:hAnsi="Times New Roman" w:cs="Times New Roman"/>
          <w:kern w:val="1"/>
          <w:sz w:val="24"/>
          <w:szCs w:val="24"/>
        </w:rPr>
        <w:t xml:space="preserve">ase-revenue bonds, CDC resumed planning for Delano II in 1999. Due to the continued growth in prison populations over the intervening years, CDC increased the planned prison capacity by 235% from the initially approved capacity of 2,000 </w:t>
      </w:r>
      <w:proofErr w:type="spellStart"/>
      <w:r w:rsidRPr="00FA5329">
        <w:rPr>
          <w:rFonts w:ascii="Times New Roman" w:hAnsi="Times New Roman" w:cs="Times New Roman"/>
          <w:kern w:val="1"/>
          <w:sz w:val="24"/>
          <w:szCs w:val="24"/>
        </w:rPr>
        <w:t>inmates,up</w:t>
      </w:r>
      <w:proofErr w:type="spellEnd"/>
      <w:r w:rsidRPr="00FA5329">
        <w:rPr>
          <w:rFonts w:ascii="Times New Roman" w:hAnsi="Times New Roman" w:cs="Times New Roman"/>
          <w:kern w:val="1"/>
          <w:sz w:val="24"/>
          <w:szCs w:val="24"/>
        </w:rPr>
        <w:t xml:space="preserve"> to 5,160</w:t>
      </w:r>
      <w:r w:rsidRPr="00FA5329">
        <w:rPr>
          <w:rFonts w:ascii="Times New Roman" w:hAnsi="Times New Roman" w:cs="Times New Roman"/>
          <w:kern w:val="1"/>
          <w:sz w:val="24"/>
          <w:szCs w:val="24"/>
        </w:rPr>
        <w:t xml:space="preserve"> inmates, and from a 320-acre site up to a 480-acre site.</w:t>
      </w:r>
      <w:r w:rsidRPr="00FA5329">
        <w:rPr>
          <w:rFonts w:ascii="Times New Roman" w:hAnsi="Times New Roman" w:cs="Times New Roman"/>
          <w:kern w:val="1"/>
          <w:sz w:val="24"/>
          <w:szCs w:val="24"/>
          <w:vertAlign w:val="superscript"/>
        </w:rPr>
        <w:footnoteReference w:id="19"/>
      </w:r>
      <w:r w:rsidRPr="00FA5329">
        <w:rPr>
          <w:rFonts w:ascii="Times New Roman" w:hAnsi="Times New Roman" w:cs="Times New Roman"/>
          <w:kern w:val="1"/>
          <w:sz w:val="24"/>
          <w:szCs w:val="24"/>
        </w:rPr>
        <w:t xml:space="preserve"> This design change triggered the need to amend the previously approved 1995 EIR with additional analyses considering the environmental impacts of the newly proposed design revisions. In February 20</w:t>
      </w:r>
      <w:r w:rsidRPr="00FA5329">
        <w:rPr>
          <w:rFonts w:ascii="Times New Roman" w:hAnsi="Times New Roman" w:cs="Times New Roman"/>
          <w:kern w:val="1"/>
          <w:sz w:val="24"/>
          <w:szCs w:val="24"/>
        </w:rPr>
        <w:t>00, CDC published the Draft Supplemental EIR (SEIR) for a 45-day period for public review and comment and held a subsequent public hearing to receive oral comments, in accordance with CEQA guidelines</w:t>
      </w:r>
      <w:r w:rsidRPr="00FA5329">
        <w:rPr>
          <w:rFonts w:ascii="Times New Roman" w:hAnsi="Times New Roman" w:cs="Times New Roman"/>
          <w:kern w:val="1"/>
          <w:sz w:val="24"/>
          <w:szCs w:val="24"/>
          <w:vertAlign w:val="superscript"/>
        </w:rPr>
        <w:footnoteReference w:id="20"/>
      </w:r>
      <w:r w:rsidRPr="00FA5329">
        <w:rPr>
          <w:rFonts w:ascii="Times New Roman" w:hAnsi="Times New Roman" w:cs="Times New Roman"/>
          <w:kern w:val="1"/>
          <w:sz w:val="24"/>
          <w:szCs w:val="24"/>
        </w:rPr>
        <w:t>. On May 22, 2000, CDC published a Final SEIR containing</w:t>
      </w:r>
      <w:r w:rsidRPr="00FA5329">
        <w:rPr>
          <w:rFonts w:ascii="Times New Roman" w:hAnsi="Times New Roman" w:cs="Times New Roman"/>
          <w:kern w:val="1"/>
          <w:sz w:val="24"/>
          <w:szCs w:val="24"/>
        </w:rPr>
        <w:t xml:space="preserve"> a record of the comments received and CDC responses to those comments, followed by the publication of the Notice of Determination (NOD) approving the Final SEIR on June 7, 2000</w:t>
      </w:r>
      <w:r w:rsidRPr="00FA5329">
        <w:rPr>
          <w:rFonts w:ascii="Times New Roman" w:hAnsi="Times New Roman" w:cs="Times New Roman"/>
          <w:kern w:val="1"/>
          <w:sz w:val="24"/>
          <w:szCs w:val="24"/>
          <w:vertAlign w:val="superscript"/>
        </w:rPr>
        <w:footnoteReference w:id="21"/>
      </w:r>
      <w:r w:rsidRPr="00FA5329">
        <w:rPr>
          <w:rFonts w:ascii="Times New Roman" w:hAnsi="Times New Roman" w:cs="Times New Roman"/>
          <w:kern w:val="1"/>
          <w:sz w:val="24"/>
          <w:szCs w:val="24"/>
        </w:rPr>
        <w:t>, which is the California equivalent to the NEPA Record of Decision granting f</w:t>
      </w:r>
      <w:r w:rsidRPr="00FA5329">
        <w:rPr>
          <w:rFonts w:ascii="Times New Roman" w:hAnsi="Times New Roman" w:cs="Times New Roman"/>
          <w:kern w:val="1"/>
          <w:sz w:val="24"/>
          <w:szCs w:val="24"/>
        </w:rPr>
        <w:t xml:space="preserve">inal approval of the environmental review process. Typically, this is the point at which the lead agency may proceed with project implementation. However, in the case of Delano II, this was the point at which organized opposition to the prison led to a </w:t>
      </w:r>
      <w:r w:rsidRPr="00FA5329">
        <w:rPr>
          <w:rFonts w:ascii="Times New Roman" w:hAnsi="Times New Roman" w:cs="Times New Roman"/>
          <w:kern w:val="1"/>
          <w:sz w:val="24"/>
          <w:szCs w:val="24"/>
          <w:highlight w:val="yellow"/>
        </w:rPr>
        <w:t>fiv</w:t>
      </w:r>
      <w:r w:rsidRPr="00FA5329">
        <w:rPr>
          <w:rFonts w:ascii="Times New Roman" w:hAnsi="Times New Roman" w:cs="Times New Roman"/>
          <w:kern w:val="1"/>
          <w:sz w:val="24"/>
          <w:szCs w:val="24"/>
          <w:highlight w:val="yellow"/>
        </w:rPr>
        <w:t>e-year</w:t>
      </w:r>
      <w:r w:rsidRPr="00FA5329">
        <w:rPr>
          <w:rFonts w:ascii="Times New Roman" w:hAnsi="Times New Roman" w:cs="Times New Roman"/>
          <w:kern w:val="1"/>
          <w:sz w:val="24"/>
          <w:szCs w:val="24"/>
        </w:rPr>
        <w:t xml:space="preserve"> delay in prison implementation with a lawsuit built around the requirements of California's EIA process. </w:t>
      </w:r>
    </w:p>
    <w:p w14:paraId="4978EC2A" w14:textId="77777777" w:rsidR="00AD15E8" w:rsidRPr="00FA5329" w:rsidRDefault="00AD15E8" w:rsidP="00FA5329">
      <w:pPr>
        <w:spacing w:line="480" w:lineRule="auto"/>
        <w:ind w:firstLine="720"/>
        <w:rPr>
          <w:rFonts w:ascii="Times New Roman" w:hAnsi="Times New Roman" w:cs="Times New Roman"/>
          <w:kern w:val="1"/>
          <w:sz w:val="24"/>
          <w:szCs w:val="24"/>
        </w:rPr>
      </w:pPr>
    </w:p>
    <w:p w14:paraId="3F08EBA9" w14:textId="77777777" w:rsidR="00AD15E8" w:rsidRPr="00FA5329" w:rsidRDefault="00AD15E8" w:rsidP="00FA5329">
      <w:pPr>
        <w:spacing w:line="480" w:lineRule="auto"/>
        <w:ind w:firstLine="720"/>
        <w:rPr>
          <w:rFonts w:ascii="Times New Roman" w:hAnsi="Times New Roman" w:cs="Times New Roman"/>
          <w:kern w:val="1"/>
          <w:sz w:val="24"/>
          <w:szCs w:val="24"/>
        </w:rPr>
      </w:pPr>
    </w:p>
    <w:p w14:paraId="54459B85" w14:textId="77777777" w:rsidR="00AD15E8" w:rsidRPr="00FA5329" w:rsidRDefault="00AD15E8" w:rsidP="00FA5329">
      <w:pPr>
        <w:spacing w:line="480" w:lineRule="auto"/>
        <w:ind w:firstLine="720"/>
        <w:rPr>
          <w:rFonts w:ascii="Times New Roman" w:hAnsi="Times New Roman" w:cs="Times New Roman"/>
          <w:kern w:val="1"/>
          <w:sz w:val="24"/>
          <w:szCs w:val="24"/>
        </w:rPr>
      </w:pPr>
    </w:p>
    <w:p w14:paraId="0D6C1117"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highlight w:val="yellow"/>
        </w:rPr>
        <w:lastRenderedPageBreak/>
        <w:t xml:space="preserve">[Maybe a </w:t>
      </w:r>
      <w:proofErr w:type="gramStart"/>
      <w:r w:rsidRPr="00FA5329">
        <w:rPr>
          <w:rFonts w:ascii="Times New Roman" w:hAnsi="Times New Roman" w:cs="Times New Roman"/>
          <w:kern w:val="1"/>
          <w:sz w:val="24"/>
          <w:szCs w:val="24"/>
          <w:highlight w:val="yellow"/>
        </w:rPr>
        <w:t>footnote]</w:t>
      </w:r>
      <w:r w:rsidRPr="00FA5329">
        <w:rPr>
          <w:rFonts w:ascii="Times New Roman" w:hAnsi="Times New Roman" w:cs="Times New Roman"/>
          <w:kern w:val="1"/>
          <w:sz w:val="24"/>
          <w:szCs w:val="24"/>
        </w:rPr>
        <w:t>Whereas</w:t>
      </w:r>
      <w:proofErr w:type="gramEnd"/>
      <w:r w:rsidRPr="00FA5329">
        <w:rPr>
          <w:rFonts w:ascii="Times New Roman" w:hAnsi="Times New Roman" w:cs="Times New Roman"/>
          <w:kern w:val="1"/>
          <w:sz w:val="24"/>
          <w:szCs w:val="24"/>
        </w:rPr>
        <w:t xml:space="preserve"> federally funded projects in the U.S. are subject to NEPA and its EIA process, the State of California requires st</w:t>
      </w:r>
      <w:r w:rsidRPr="00FA5329">
        <w:rPr>
          <w:rFonts w:ascii="Times New Roman" w:hAnsi="Times New Roman" w:cs="Times New Roman"/>
          <w:kern w:val="1"/>
          <w:sz w:val="24"/>
          <w:szCs w:val="24"/>
        </w:rPr>
        <w:t>ate funded projects to adhere to the state’s equivalent of NEPA, the California Environmental Quality Act (CEQA). Like NEPA, CEQA mandates an EIA process, which includes the Environmental Impact Report (EIR) and a published Notice of Determination (NOD), o</w:t>
      </w:r>
      <w:r w:rsidRPr="00FA5329">
        <w:rPr>
          <w:rFonts w:ascii="Times New Roman" w:hAnsi="Times New Roman" w:cs="Times New Roman"/>
          <w:kern w:val="1"/>
          <w:sz w:val="24"/>
          <w:szCs w:val="24"/>
        </w:rPr>
        <w:t>r the state equivalents to the EIS and ROD under NEPA. While there are significant differences between NEPA and CEQA, for the purpose at hand they dissolve beneath their structural imperatives to get state administrators thinking about environmental factor</w:t>
      </w:r>
      <w:r w:rsidRPr="00FA5329">
        <w:rPr>
          <w:rFonts w:ascii="Times New Roman" w:hAnsi="Times New Roman" w:cs="Times New Roman"/>
          <w:kern w:val="1"/>
          <w:sz w:val="24"/>
          <w:szCs w:val="24"/>
        </w:rPr>
        <w:t>s in their decision making, and to open that process up to public scrutiny.</w:t>
      </w:r>
    </w:p>
    <w:p w14:paraId="05D855AF"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In California, the majority of prisons are located in rural areas, especially throughout the central region of the state in the San Joaquin Valley. The vast majority of prisoners, </w:t>
      </w:r>
      <w:r w:rsidRPr="00FA5329">
        <w:rPr>
          <w:rFonts w:ascii="Times New Roman" w:hAnsi="Times New Roman" w:cs="Times New Roman"/>
          <w:kern w:val="1"/>
          <w:sz w:val="24"/>
          <w:szCs w:val="24"/>
        </w:rPr>
        <w:t>however, come from urban centers, particularly the Los Angeles Metropolitan Area (CDCR 2011). [</w:t>
      </w:r>
      <w:r w:rsidRPr="00FA5329">
        <w:rPr>
          <w:rFonts w:ascii="Times New Roman" w:hAnsi="Times New Roman" w:cs="Times New Roman"/>
          <w:kern w:val="1"/>
          <w:sz w:val="24"/>
          <w:szCs w:val="24"/>
          <w:highlight w:val="yellow"/>
        </w:rPr>
        <w:t>Could potentially add lots here… this is just a placeholder for now</w:t>
      </w:r>
      <w:r w:rsidRPr="00FA5329">
        <w:rPr>
          <w:rFonts w:ascii="Times New Roman" w:hAnsi="Times New Roman" w:cs="Times New Roman"/>
          <w:kern w:val="1"/>
          <w:sz w:val="24"/>
          <w:szCs w:val="24"/>
        </w:rPr>
        <w:t>]</w:t>
      </w:r>
    </w:p>
    <w:p w14:paraId="575BC223"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The siting of prisons in poorer rural communities, particularly where there is a large pop</w:t>
      </w:r>
      <w:r w:rsidRPr="00FA5329">
        <w:rPr>
          <w:rFonts w:ascii="Times New Roman" w:hAnsi="Times New Roman" w:cs="Times New Roman"/>
          <w:kern w:val="1"/>
          <w:sz w:val="24"/>
          <w:szCs w:val="24"/>
        </w:rPr>
        <w:t>ulation for whom English is not the primary language spoken at home.</w:t>
      </w:r>
    </w:p>
    <w:p w14:paraId="76338EF4"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roofErr w:type="spellStart"/>
      <w:r w:rsidRPr="00FA5329">
        <w:rPr>
          <w:rFonts w:ascii="Times New Roman" w:hAnsi="Times New Roman" w:cs="Times New Roman"/>
          <w:kern w:val="1"/>
          <w:sz w:val="24"/>
          <w:szCs w:val="24"/>
        </w:rPr>
        <w:t>Cerrell</w:t>
      </w:r>
      <w:proofErr w:type="spellEnd"/>
      <w:r w:rsidRPr="00FA5329">
        <w:rPr>
          <w:rFonts w:ascii="Times New Roman" w:hAnsi="Times New Roman" w:cs="Times New Roman"/>
          <w:kern w:val="1"/>
          <w:sz w:val="24"/>
          <w:szCs w:val="24"/>
        </w:rPr>
        <w:t xml:space="preserve"> Report (1984): “suggests that companies target small, rural communities whose residents are low income, older people, or people with a high school education or less; communities </w:t>
      </w:r>
      <w:r w:rsidRPr="00FA5329">
        <w:rPr>
          <w:rFonts w:ascii="Times New Roman" w:hAnsi="Times New Roman" w:cs="Times New Roman"/>
          <w:kern w:val="1"/>
          <w:sz w:val="24"/>
          <w:szCs w:val="24"/>
        </w:rPr>
        <w:t>with a high proportion of Catholic residents; and communities whose residents are engaged in resource extractive industries such as agriculture, mining and forestry.”</w:t>
      </w:r>
    </w:p>
    <w:p w14:paraId="33002977" w14:textId="77777777" w:rsidR="00AD15E8" w:rsidRPr="00FA5329" w:rsidRDefault="00AD15E8"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
    <w:p w14:paraId="284399C4"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Why rural areas? In addition to the </w:t>
      </w:r>
      <w:proofErr w:type="spellStart"/>
      <w:r w:rsidRPr="00FA5329">
        <w:rPr>
          <w:rFonts w:ascii="Times New Roman" w:hAnsi="Times New Roman" w:cs="Times New Roman"/>
          <w:kern w:val="1"/>
          <w:sz w:val="24"/>
          <w:szCs w:val="24"/>
        </w:rPr>
        <w:t>Cerrell</w:t>
      </w:r>
      <w:proofErr w:type="spellEnd"/>
      <w:r w:rsidRPr="00FA5329">
        <w:rPr>
          <w:rFonts w:ascii="Times New Roman" w:hAnsi="Times New Roman" w:cs="Times New Roman"/>
          <w:kern w:val="1"/>
          <w:sz w:val="24"/>
          <w:szCs w:val="24"/>
        </w:rPr>
        <w:t xml:space="preserve"> Report, evidence points to the success of a </w:t>
      </w:r>
      <w:r w:rsidRPr="00FA5329">
        <w:rPr>
          <w:rFonts w:ascii="Times New Roman" w:hAnsi="Times New Roman" w:cs="Times New Roman"/>
          <w:kern w:val="1"/>
          <w:sz w:val="24"/>
          <w:szCs w:val="24"/>
        </w:rPr>
        <w:t xml:space="preserve">group of grassroots activists who called themselves the Madres del Este de Los Angeles, or Mothers of </w:t>
      </w:r>
      <w:r w:rsidRPr="00FA5329">
        <w:rPr>
          <w:rFonts w:ascii="Times New Roman" w:hAnsi="Times New Roman" w:cs="Times New Roman"/>
          <w:kern w:val="1"/>
          <w:sz w:val="24"/>
          <w:szCs w:val="24"/>
        </w:rPr>
        <w:lastRenderedPageBreak/>
        <w:t>East L.A., as a major factor in the switch from urban to rural prison siting. [Brief descriptive info on the East LA Prison campaign] [link MELA to EJ fra</w:t>
      </w:r>
      <w:r w:rsidRPr="00FA5329">
        <w:rPr>
          <w:rFonts w:ascii="Times New Roman" w:hAnsi="Times New Roman" w:cs="Times New Roman"/>
          <w:kern w:val="1"/>
          <w:sz w:val="24"/>
          <w:szCs w:val="24"/>
        </w:rPr>
        <w:t>mework, pointing back to Joining Forces]</w:t>
      </w:r>
    </w:p>
    <w:p w14:paraId="446EBE62"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One of the insidious ways in which the discourse about anthropogenic climate change complicates environmental justice work is that it tends to substitute the language of “greening” for justice. Growing concern over </w:t>
      </w:r>
      <w:r w:rsidRPr="00FA5329">
        <w:rPr>
          <w:rFonts w:ascii="Times New Roman" w:hAnsi="Times New Roman" w:cs="Times New Roman"/>
          <w:kern w:val="1"/>
          <w:sz w:val="24"/>
          <w:szCs w:val="24"/>
        </w:rPr>
        <w:t>the future of human society in the face of precipitous climate change means that concern about any issues related to the environment become synonymous with a concern about climate change, a concern over the release of greenhouse gases into the upper atmosp</w:t>
      </w:r>
      <w:r w:rsidRPr="00FA5329">
        <w:rPr>
          <w:rFonts w:ascii="Times New Roman" w:hAnsi="Times New Roman" w:cs="Times New Roman"/>
          <w:kern w:val="1"/>
          <w:sz w:val="24"/>
          <w:szCs w:val="24"/>
        </w:rPr>
        <w:t>here, or in the extreme, simply a concern with the vague and amorphous concept of “sustainability.” The effect of this discourse is two fold. First, it enables the “</w:t>
      </w:r>
      <w:proofErr w:type="spellStart"/>
      <w:r w:rsidRPr="00FA5329">
        <w:rPr>
          <w:rFonts w:ascii="Times New Roman" w:hAnsi="Times New Roman" w:cs="Times New Roman"/>
          <w:kern w:val="1"/>
          <w:sz w:val="24"/>
          <w:szCs w:val="24"/>
        </w:rPr>
        <w:t>greenwashing</w:t>
      </w:r>
      <w:proofErr w:type="spellEnd"/>
      <w:r w:rsidRPr="00FA5329">
        <w:rPr>
          <w:rFonts w:ascii="Times New Roman" w:hAnsi="Times New Roman" w:cs="Times New Roman"/>
          <w:kern w:val="1"/>
          <w:sz w:val="24"/>
          <w:szCs w:val="24"/>
        </w:rPr>
        <w:t>” of projects, meaning that a “green” or “sustainable” veneer gives the impress</w:t>
      </w:r>
      <w:r w:rsidRPr="00FA5329">
        <w:rPr>
          <w:rFonts w:ascii="Times New Roman" w:hAnsi="Times New Roman" w:cs="Times New Roman"/>
          <w:kern w:val="1"/>
          <w:sz w:val="24"/>
          <w:szCs w:val="24"/>
        </w:rPr>
        <w:t xml:space="preserve">ion that a project is immune to critique on environmental grounds. Second, it sidelines other understandings of environment and environmental justice. Without diminishing climate justice concerns, an environmental justice position considers the project in </w:t>
      </w:r>
      <w:r w:rsidRPr="00FA5329">
        <w:rPr>
          <w:rFonts w:ascii="Times New Roman" w:hAnsi="Times New Roman" w:cs="Times New Roman"/>
          <w:kern w:val="1"/>
          <w:sz w:val="24"/>
          <w:szCs w:val="24"/>
        </w:rPr>
        <w:t>terms of the social justice implications for environmental changes that might occur as a result of project implementation.</w:t>
      </w:r>
    </w:p>
    <w:p w14:paraId="678A88B2"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Prison construction and expansion projects initiated since the early 2000s are increasingly promoted as green projects, apparently in</w:t>
      </w:r>
      <w:r w:rsidRPr="00FA5329">
        <w:rPr>
          <w:rFonts w:ascii="Times New Roman" w:hAnsi="Times New Roman" w:cs="Times New Roman"/>
          <w:kern w:val="1"/>
          <w:sz w:val="24"/>
          <w:szCs w:val="24"/>
        </w:rPr>
        <w:t xml:space="preserve"> an attempt to garner support from local communities, as well as politicians and bureaucrats at the municipal, state, regional, and national levels. By promoting a prison project as green and/or sustainable, project promoters are able to minimize concerns </w:t>
      </w:r>
      <w:r w:rsidRPr="00FA5329">
        <w:rPr>
          <w:rFonts w:ascii="Times New Roman" w:hAnsi="Times New Roman" w:cs="Times New Roman"/>
          <w:kern w:val="1"/>
          <w:sz w:val="24"/>
          <w:szCs w:val="24"/>
        </w:rPr>
        <w:t>about the environmental justice implications of the project and the specific geographical siting of the project. Developers are likely also taking advantage of green building incentives, such as tax credits and exemptions (e.g., Qualified Energy Conservati</w:t>
      </w:r>
      <w:r w:rsidRPr="00FA5329">
        <w:rPr>
          <w:rFonts w:ascii="Times New Roman" w:hAnsi="Times New Roman" w:cs="Times New Roman"/>
          <w:kern w:val="1"/>
          <w:sz w:val="24"/>
          <w:szCs w:val="24"/>
        </w:rPr>
        <w:t>on Bonds [QECBs]), or to meet municipal building regulations (e.g., Los Angeles County’s LEED silver requirement for county buildings).</w:t>
      </w:r>
    </w:p>
    <w:p w14:paraId="48AAFF5D"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lastRenderedPageBreak/>
        <w:t xml:space="preserve">Despite the claims of green prisons as being environmentally friendly, there remain numerous critiques of prison </w:t>
      </w:r>
      <w:r w:rsidRPr="00FA5329">
        <w:rPr>
          <w:rFonts w:ascii="Times New Roman" w:hAnsi="Times New Roman" w:cs="Times New Roman"/>
          <w:kern w:val="1"/>
          <w:sz w:val="24"/>
          <w:szCs w:val="24"/>
        </w:rPr>
        <w:t>construction from both ecological and environmental justice perspectives. First is the direct environmental impact of prison construction on the localized ecology--the inevitable impacts on the physical conditions supporting flora and fauna--whether the pr</w:t>
      </w:r>
      <w:r w:rsidRPr="00FA5329">
        <w:rPr>
          <w:rFonts w:ascii="Times New Roman" w:hAnsi="Times New Roman" w:cs="Times New Roman"/>
          <w:kern w:val="1"/>
          <w:sz w:val="24"/>
          <w:szCs w:val="24"/>
        </w:rPr>
        <w:t>oject represents new construction or expansion or renovation of existing facilities. Second are the proximity-related environmental impacts to soils, groundwater, and air quality, which disproportionately affect neighboring communities and incarcerated pop</w:t>
      </w:r>
      <w:r w:rsidRPr="00FA5329">
        <w:rPr>
          <w:rFonts w:ascii="Times New Roman" w:hAnsi="Times New Roman" w:cs="Times New Roman"/>
          <w:kern w:val="1"/>
          <w:sz w:val="24"/>
          <w:szCs w:val="24"/>
        </w:rPr>
        <w:t>ulations. Third are sociocultural impacts to things like employment, the local economy, housing and urban planning, as well as less localized factors like policing practices</w:t>
      </w:r>
    </w:p>
    <w:p w14:paraId="63135F6F" w14:textId="77777777" w:rsidR="00AD15E8" w:rsidRPr="00FA5329" w:rsidRDefault="00E70BBA" w:rsidP="00FA5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rPr>
          <w:rFonts w:ascii="Times New Roman" w:hAnsi="Times New Roman" w:cs="Times New Roman"/>
          <w:b/>
          <w:i/>
          <w:kern w:val="1"/>
          <w:sz w:val="24"/>
          <w:szCs w:val="24"/>
        </w:rPr>
      </w:pPr>
      <w:r w:rsidRPr="00FA5329">
        <w:rPr>
          <w:rFonts w:ascii="Times New Roman" w:hAnsi="Times New Roman" w:cs="Times New Roman"/>
          <w:b/>
          <w:i/>
          <w:kern w:val="1"/>
          <w:sz w:val="24"/>
          <w:szCs w:val="24"/>
        </w:rPr>
        <w:t>A Three-Year Court Battle</w:t>
      </w:r>
    </w:p>
    <w:p w14:paraId="79411E8E"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On June 7, 2001, after almost a year of back-and-forth b</w:t>
      </w:r>
      <w:r w:rsidRPr="00FA5329">
        <w:rPr>
          <w:rFonts w:ascii="Times New Roman" w:hAnsi="Times New Roman" w:cs="Times New Roman"/>
          <w:kern w:val="1"/>
          <w:sz w:val="24"/>
          <w:szCs w:val="24"/>
        </w:rPr>
        <w:t>etween the lawyers and courts, the trial court ruled in favor of CDC on the issue of standing, forcing CR and NLG to withdraw from the lawsuit; Friends of the Kangaroo Rat stayed on the lawsuit to its conclusion. Before the courts even had a chance to weig</w:t>
      </w:r>
      <w:r w:rsidRPr="00FA5329">
        <w:rPr>
          <w:rFonts w:ascii="Times New Roman" w:hAnsi="Times New Roman" w:cs="Times New Roman"/>
          <w:kern w:val="1"/>
          <w:sz w:val="24"/>
          <w:szCs w:val="24"/>
        </w:rPr>
        <w:t>h the merits of the lawsuit, two thirds of the team fighting the construction of Delano II were pushed out of the courts, despite the renewed effort from campaign supporters to substantiate the standing claims of CR and NLG. The court’s decision reveals tw</w:t>
      </w:r>
      <w:r w:rsidRPr="00FA5329">
        <w:rPr>
          <w:rFonts w:ascii="Times New Roman" w:hAnsi="Times New Roman" w:cs="Times New Roman"/>
          <w:kern w:val="1"/>
          <w:sz w:val="24"/>
          <w:szCs w:val="24"/>
        </w:rPr>
        <w:t>o important considerations for the case study--the determination of standing in relation to the EIS process, and the broader campaign strategy used by the campaign organizers.</w:t>
      </w:r>
    </w:p>
    <w:p w14:paraId="523E29BE"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The decision handed down by the Superior Court in June 2001, included two import</w:t>
      </w:r>
      <w:r w:rsidRPr="00FA5329">
        <w:rPr>
          <w:rFonts w:ascii="Times New Roman" w:hAnsi="Times New Roman" w:cs="Times New Roman"/>
          <w:kern w:val="1"/>
          <w:sz w:val="24"/>
          <w:szCs w:val="24"/>
        </w:rPr>
        <w:t>ant rulings. The first ruling, which is discussed in greater detail below, was that CR and NLG lacked standing as plaintiffs in the trial. The second ruling dismissed two of the arguments challenging the deficiency of the SEIR, but upheld the third. By rul</w:t>
      </w:r>
      <w:r w:rsidRPr="00FA5329">
        <w:rPr>
          <w:rFonts w:ascii="Times New Roman" w:hAnsi="Times New Roman" w:cs="Times New Roman"/>
          <w:kern w:val="1"/>
          <w:sz w:val="24"/>
          <w:szCs w:val="24"/>
        </w:rPr>
        <w:t xml:space="preserve">ing in favor of the plaintiffs on the third point, which related to cumulative impacts, the court effectively stopped CDC from continuing </w:t>
      </w:r>
      <w:r w:rsidRPr="00FA5329">
        <w:rPr>
          <w:rFonts w:ascii="Times New Roman" w:hAnsi="Times New Roman" w:cs="Times New Roman"/>
          <w:kern w:val="1"/>
          <w:sz w:val="24"/>
          <w:szCs w:val="24"/>
        </w:rPr>
        <w:lastRenderedPageBreak/>
        <w:t>with the construction of Delano II until they addressed the impact studies required by the court. The court found that</w:t>
      </w:r>
      <w:r w:rsidRPr="00FA5329">
        <w:rPr>
          <w:rFonts w:ascii="Times New Roman" w:hAnsi="Times New Roman" w:cs="Times New Roman"/>
          <w:kern w:val="1"/>
          <w:sz w:val="24"/>
          <w:szCs w:val="24"/>
        </w:rPr>
        <w:t xml:space="preserve"> the cumulative impact analysis in the SEIR “did not adequately address the effect of past projects and existing projects, and…failed to provide a summary of the expected environmental effects of the pending and proposed projects” (4 Cal. </w:t>
      </w:r>
      <w:proofErr w:type="spellStart"/>
      <w:r w:rsidRPr="00FA5329">
        <w:rPr>
          <w:rFonts w:ascii="Times New Roman" w:hAnsi="Times New Roman" w:cs="Times New Roman"/>
          <w:kern w:val="1"/>
          <w:sz w:val="24"/>
          <w:szCs w:val="24"/>
        </w:rPr>
        <w:t>Rptr</w:t>
      </w:r>
      <w:proofErr w:type="spellEnd"/>
      <w:r w:rsidRPr="00FA5329">
        <w:rPr>
          <w:rFonts w:ascii="Times New Roman" w:hAnsi="Times New Roman" w:cs="Times New Roman"/>
          <w:kern w:val="1"/>
          <w:sz w:val="24"/>
          <w:szCs w:val="24"/>
        </w:rPr>
        <w:t>. 3d 562). Th</w:t>
      </w:r>
      <w:r w:rsidRPr="00FA5329">
        <w:rPr>
          <w:rFonts w:ascii="Times New Roman" w:hAnsi="Times New Roman" w:cs="Times New Roman"/>
          <w:kern w:val="1"/>
          <w:sz w:val="24"/>
          <w:szCs w:val="24"/>
        </w:rPr>
        <w:t xml:space="preserve">is marked a tremendous victory for the plaintiffs because it meant that CDC would have to return to the EIA process to further examine the environmental impacts of the proposed prison, and submit their updated findings for another round of public review. </w:t>
      </w:r>
    </w:p>
    <w:p w14:paraId="35D4371D"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Also pertinent is that despite ruling in favor of requiring CDC to prepare a cumulative impact analysis, the Court ruled against the plaintiffs on a number of other points based on merit. These additional arguments included (1) failure to fully and adequat</w:t>
      </w:r>
      <w:r w:rsidRPr="00FA5329">
        <w:rPr>
          <w:rFonts w:ascii="Times New Roman" w:hAnsi="Times New Roman" w:cs="Times New Roman"/>
          <w:kern w:val="1"/>
          <w:sz w:val="24"/>
          <w:szCs w:val="24"/>
        </w:rPr>
        <w:t>ely describe the proposed prison development project; (2) failure to consider a reasonable range of alternatives to the proposed prison; (3) failure to propose adequate measures to mitigate the significant foreseeable impacts on wastewater treatment, the S</w:t>
      </w:r>
      <w:r w:rsidRPr="00FA5329">
        <w:rPr>
          <w:rFonts w:ascii="Times New Roman" w:hAnsi="Times New Roman" w:cs="Times New Roman"/>
          <w:kern w:val="1"/>
          <w:sz w:val="24"/>
          <w:szCs w:val="24"/>
        </w:rPr>
        <w:t>an Joaquin Kit Fox, the Tipton Kangaroo Rat, and on local schools. By granting the cumulative impact argument but rejecting these additional arguments, the Court reduced the scope of future legal arguments that could be used to hold CDC responsible when it</w:t>
      </w:r>
      <w:r w:rsidRPr="00FA5329">
        <w:rPr>
          <w:rFonts w:ascii="Times New Roman" w:hAnsi="Times New Roman" w:cs="Times New Roman"/>
          <w:kern w:val="1"/>
          <w:sz w:val="24"/>
          <w:szCs w:val="24"/>
        </w:rPr>
        <w:t xml:space="preserve"> completed its cumulative impact analysis.</w:t>
      </w:r>
    </w:p>
    <w:p w14:paraId="29532C41"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The legal concept of standing is complex, particularly with regard to environmental law, and because of its gatekeeping function within the judicial system, shouldn’t be taken lightly. In environmental law, standi</w:t>
      </w:r>
      <w:r w:rsidRPr="00FA5329">
        <w:rPr>
          <w:rFonts w:ascii="Times New Roman" w:hAnsi="Times New Roman" w:cs="Times New Roman"/>
          <w:kern w:val="1"/>
          <w:sz w:val="24"/>
          <w:szCs w:val="24"/>
        </w:rPr>
        <w:t>ng refers to the plaintiff’s ability to establish that they suffer injury from a project or action, and that it will continue unless the court takes action. They also need to establish a chain of causation that links the project or action to some portion o</w:t>
      </w:r>
      <w:r w:rsidRPr="00FA5329">
        <w:rPr>
          <w:rFonts w:ascii="Times New Roman" w:hAnsi="Times New Roman" w:cs="Times New Roman"/>
          <w:kern w:val="1"/>
          <w:sz w:val="24"/>
          <w:szCs w:val="24"/>
        </w:rPr>
        <w:t xml:space="preserve">f the environment used by the plaintiff or some member of a plaintiff’s party. The form of injury claimed does not need to be physical or economical; aesthetic or recreational impairments are also considered </w:t>
      </w:r>
      <w:r w:rsidRPr="00FA5329">
        <w:rPr>
          <w:rFonts w:ascii="Times New Roman" w:hAnsi="Times New Roman" w:cs="Times New Roman"/>
          <w:kern w:val="1"/>
          <w:sz w:val="24"/>
          <w:szCs w:val="24"/>
        </w:rPr>
        <w:lastRenderedPageBreak/>
        <w:t>valid based on past U.S. Supreme Court decisions</w:t>
      </w:r>
      <w:r w:rsidRPr="00FA5329">
        <w:rPr>
          <w:rFonts w:ascii="Times New Roman" w:hAnsi="Times New Roman" w:cs="Times New Roman"/>
          <w:kern w:val="1"/>
          <w:sz w:val="24"/>
          <w:szCs w:val="24"/>
        </w:rPr>
        <w:t>.</w:t>
      </w:r>
      <w:r w:rsidRPr="00FA5329">
        <w:rPr>
          <w:rFonts w:ascii="Times New Roman" w:hAnsi="Times New Roman" w:cs="Times New Roman"/>
          <w:kern w:val="1"/>
          <w:sz w:val="24"/>
          <w:szCs w:val="24"/>
          <w:vertAlign w:val="superscript"/>
        </w:rPr>
        <w:footnoteReference w:id="22"/>
      </w:r>
      <w:r w:rsidRPr="00FA5329">
        <w:rPr>
          <w:rFonts w:ascii="Times New Roman" w:hAnsi="Times New Roman" w:cs="Times New Roman"/>
          <w:kern w:val="1"/>
          <w:sz w:val="24"/>
          <w:szCs w:val="24"/>
        </w:rPr>
        <w:t xml:space="preserve"> In the case of Delano II, the court ruled that CR and NLG both lacked standing because the potential impacts to the environment under consideration in the lawsuit did not causally relate to potential injuries suffered by members of either organization. </w:t>
      </w:r>
      <w:r w:rsidRPr="00FA5329">
        <w:rPr>
          <w:rFonts w:ascii="Times New Roman" w:hAnsi="Times New Roman" w:cs="Times New Roman"/>
          <w:kern w:val="1"/>
          <w:sz w:val="24"/>
          <w:szCs w:val="24"/>
        </w:rPr>
        <w:t>The lawsuit rested on three claims of impacts not considered under the SEIR that would cause harm to the plaintiffs. Since none of those was directly…</w:t>
      </w:r>
    </w:p>
    <w:p w14:paraId="76D56F7C"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This is an important point because it’s well within reason to assert that the construction of a new priso</w:t>
      </w:r>
      <w:r w:rsidRPr="00FA5329">
        <w:rPr>
          <w:rFonts w:ascii="Times New Roman" w:hAnsi="Times New Roman" w:cs="Times New Roman"/>
          <w:kern w:val="1"/>
          <w:sz w:val="24"/>
          <w:szCs w:val="24"/>
        </w:rPr>
        <w:t>n will directly impact the living environments of potentially incarcerated individuals and their families, and as we know from history, the addition of beds to the prison system means bodies will be found to occupy them--and those will disproportionately b</w:t>
      </w:r>
      <w:r w:rsidRPr="00FA5329">
        <w:rPr>
          <w:rFonts w:ascii="Times New Roman" w:hAnsi="Times New Roman" w:cs="Times New Roman"/>
          <w:kern w:val="1"/>
          <w:sz w:val="24"/>
          <w:szCs w:val="24"/>
        </w:rPr>
        <w:t>e black or brown. But in the eyes of the courts, such factors don’t count toward standing. Only impacts directly linked to the changes in the physical environment resulting from the state’s action in constructing a prison count toward standing; impacts con</w:t>
      </w:r>
      <w:r w:rsidRPr="00FA5329">
        <w:rPr>
          <w:rFonts w:ascii="Times New Roman" w:hAnsi="Times New Roman" w:cs="Times New Roman"/>
          <w:kern w:val="1"/>
          <w:sz w:val="24"/>
          <w:szCs w:val="24"/>
        </w:rPr>
        <w:t>jecturally related to potentially incarcerated persons do not count.</w:t>
      </w:r>
      <w:r w:rsidRPr="00FA5329">
        <w:rPr>
          <w:rFonts w:ascii="Times New Roman" w:hAnsi="Times New Roman" w:cs="Times New Roman"/>
          <w:kern w:val="1"/>
          <w:sz w:val="24"/>
          <w:szCs w:val="24"/>
          <w:vertAlign w:val="superscript"/>
        </w:rPr>
        <w:footnoteReference w:id="23"/>
      </w:r>
    </w:p>
    <w:p w14:paraId="7522D8E3"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Ironically, the bodies employed within a prison as guards and staff would count toward standing, but those bodies unemployed, incapacitated, and rendered surplus somehow don’t count in t</w:t>
      </w:r>
      <w:r w:rsidRPr="00FA5329">
        <w:rPr>
          <w:rFonts w:ascii="Times New Roman" w:hAnsi="Times New Roman" w:cs="Times New Roman"/>
          <w:kern w:val="1"/>
          <w:sz w:val="24"/>
          <w:szCs w:val="24"/>
        </w:rPr>
        <w:t>his case.</w:t>
      </w:r>
      <w:r w:rsidRPr="00FA5329">
        <w:rPr>
          <w:rFonts w:ascii="Times New Roman" w:hAnsi="Times New Roman" w:cs="Times New Roman"/>
          <w:kern w:val="1"/>
          <w:sz w:val="24"/>
          <w:szCs w:val="24"/>
          <w:vertAlign w:val="superscript"/>
        </w:rPr>
        <w:footnoteReference w:id="24"/>
      </w:r>
    </w:p>
    <w:p w14:paraId="54E76B95"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CDC complied with the court order and produced a Revised Cumulative Impact Analysis (RCIA). This document provided a brief history of the region and detailed analysis of the projects developed in the 15-year period leading up to Delano II. Essen</w:t>
      </w:r>
      <w:r w:rsidRPr="00FA5329">
        <w:rPr>
          <w:rFonts w:ascii="Times New Roman" w:hAnsi="Times New Roman" w:cs="Times New Roman"/>
          <w:kern w:val="1"/>
          <w:sz w:val="24"/>
          <w:szCs w:val="24"/>
        </w:rPr>
        <w:t xml:space="preserve">tially an addendum to the SEIR, it required a 45-day period for public review and comment, initiated August 15, 2001, prior to finalization and approval by the CDC director. Six months after the Superior Court’s </w:t>
      </w:r>
      <w:r w:rsidRPr="00FA5329">
        <w:rPr>
          <w:rFonts w:ascii="Times New Roman" w:hAnsi="Times New Roman" w:cs="Times New Roman"/>
          <w:kern w:val="1"/>
          <w:sz w:val="24"/>
          <w:szCs w:val="24"/>
        </w:rPr>
        <w:lastRenderedPageBreak/>
        <w:t xml:space="preserve">ruling, the revised SEIR including the RCIA </w:t>
      </w:r>
      <w:r w:rsidRPr="00FA5329">
        <w:rPr>
          <w:rFonts w:ascii="Times New Roman" w:hAnsi="Times New Roman" w:cs="Times New Roman"/>
          <w:kern w:val="1"/>
          <w:sz w:val="24"/>
          <w:szCs w:val="24"/>
        </w:rPr>
        <w:t>received approval and CDC filed a NOD on December 13, 2001.</w:t>
      </w:r>
    </w:p>
    <w:p w14:paraId="4D171B5B"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On December 13, 2001, the CDC attorney filed a Return to the Writ and Motion for Discharge of the Writ. These filings notify the Superior Court that the CDC completed and approved the RCIA, includ</w:t>
      </w:r>
      <w:r w:rsidRPr="00FA5329">
        <w:rPr>
          <w:rFonts w:ascii="Times New Roman" w:hAnsi="Times New Roman" w:cs="Times New Roman"/>
          <w:kern w:val="1"/>
          <w:sz w:val="24"/>
          <w:szCs w:val="24"/>
        </w:rPr>
        <w:t>ing the necessary public hearings, and ask the Court to dismiss the case and withdraw the order preventing them from proceeding with construction. The Court agreed to hear the case, and several months later, on April 4, 2002, the Court ruled that the CDC’s</w:t>
      </w:r>
      <w:r w:rsidRPr="00FA5329">
        <w:rPr>
          <w:rFonts w:ascii="Times New Roman" w:hAnsi="Times New Roman" w:cs="Times New Roman"/>
          <w:kern w:val="1"/>
          <w:sz w:val="24"/>
          <w:szCs w:val="24"/>
        </w:rPr>
        <w:t xml:space="preserve"> revised analysis was sufficient, and dismissed the case on April 18, 2002. Then on July 7, 2002, Friends filed an appeal with the California Court of Appeals, Fifth District, charging that the CDC had still not fulfilled its CEQA obligations in the RCIA. </w:t>
      </w:r>
      <w:r w:rsidRPr="00FA5329">
        <w:rPr>
          <w:rFonts w:ascii="Times New Roman" w:hAnsi="Times New Roman" w:cs="Times New Roman"/>
          <w:kern w:val="1"/>
          <w:sz w:val="24"/>
          <w:szCs w:val="24"/>
        </w:rPr>
        <w:t xml:space="preserve">The appeals process lasted over a year, but on August 18, 2003, the Court ruled in favor of CDC, lifting the final legal barrier to construction of the Delano II prison. </w:t>
      </w:r>
    </w:p>
    <w:p w14:paraId="0A813EF0"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ab/>
        <w:t>The case brought forth against the CDC in the Court of Appeals by the coalition opposed to the prison construction contained three main points arguing that the RCIA was insufficient and therefore necessitated further study and justificati</w:t>
      </w:r>
      <w:r w:rsidRPr="00FA5329">
        <w:rPr>
          <w:rFonts w:ascii="Times New Roman" w:hAnsi="Times New Roman" w:cs="Times New Roman"/>
          <w:kern w:val="1"/>
          <w:sz w:val="24"/>
          <w:szCs w:val="24"/>
        </w:rPr>
        <w:t>on by the CDC before the prison could be constructed. The first point regarded the proposal for the prison to obtain its water supply by pumping groundwater and treating its wastewater on-site for distribution to neighboring farms for agricultural irrigati</w:t>
      </w:r>
      <w:r w:rsidRPr="00FA5329">
        <w:rPr>
          <w:rFonts w:ascii="Times New Roman" w:hAnsi="Times New Roman" w:cs="Times New Roman"/>
          <w:kern w:val="1"/>
          <w:sz w:val="24"/>
          <w:szCs w:val="24"/>
        </w:rPr>
        <w:t>on, free of charge. This proposal, Friends argued, would negatively impact the local water supplier, the South San Joaquin Municipal Utility District (SSJMUD), by reducing its income potential, and by extension, impact its customer base due to increased su</w:t>
      </w:r>
      <w:r w:rsidRPr="00FA5329">
        <w:rPr>
          <w:rFonts w:ascii="Times New Roman" w:hAnsi="Times New Roman" w:cs="Times New Roman"/>
          <w:kern w:val="1"/>
          <w:sz w:val="24"/>
          <w:szCs w:val="24"/>
        </w:rPr>
        <w:t>pply rates (the “water issue”) (Friends v. CDC [</w:t>
      </w:r>
      <w:proofErr w:type="spellStart"/>
      <w:r w:rsidRPr="00FA5329">
        <w:rPr>
          <w:rFonts w:ascii="Times New Roman" w:hAnsi="Times New Roman" w:cs="Times New Roman"/>
          <w:kern w:val="1"/>
          <w:sz w:val="24"/>
          <w:szCs w:val="24"/>
        </w:rPr>
        <w:t>depublished</w:t>
      </w:r>
      <w:proofErr w:type="spellEnd"/>
      <w:r w:rsidRPr="00FA5329">
        <w:rPr>
          <w:rFonts w:ascii="Times New Roman" w:hAnsi="Times New Roman" w:cs="Times New Roman"/>
          <w:kern w:val="1"/>
          <w:sz w:val="24"/>
          <w:szCs w:val="24"/>
        </w:rPr>
        <w:t xml:space="preserve">]). The Court waived this argument on the grounds that the issue had not been raised in the administrative record, and therefore, Friends did </w:t>
      </w:r>
      <w:r w:rsidRPr="00FA5329">
        <w:rPr>
          <w:rFonts w:ascii="Times New Roman" w:hAnsi="Times New Roman" w:cs="Times New Roman"/>
          <w:kern w:val="1"/>
          <w:sz w:val="24"/>
          <w:szCs w:val="24"/>
        </w:rPr>
        <w:lastRenderedPageBreak/>
        <w:t>not have legal grounds to raise the issue in court (Fri</w:t>
      </w:r>
      <w:r w:rsidRPr="00FA5329">
        <w:rPr>
          <w:rFonts w:ascii="Times New Roman" w:hAnsi="Times New Roman" w:cs="Times New Roman"/>
          <w:kern w:val="1"/>
          <w:sz w:val="24"/>
          <w:szCs w:val="24"/>
        </w:rPr>
        <w:t>ends pg. 22). The second point raised in the appeal argued the inadequacy of the RCIA in assessing the cumulative impact of probable future traffic patterns (the “traffic issue”). Friends argued that the RCIA failed to fully consider the Delano General Pla</w:t>
      </w:r>
      <w:r w:rsidRPr="00FA5329">
        <w:rPr>
          <w:rFonts w:ascii="Times New Roman" w:hAnsi="Times New Roman" w:cs="Times New Roman"/>
          <w:kern w:val="1"/>
          <w:sz w:val="24"/>
          <w:szCs w:val="24"/>
        </w:rPr>
        <w:t>n and Kern County Council of Governments regional transportation model in determining cumulative traffic impacts of the proposed prison; the Court rejected this argument on merits (Friends v. CDC [</w:t>
      </w:r>
      <w:proofErr w:type="spellStart"/>
      <w:r w:rsidRPr="00FA5329">
        <w:rPr>
          <w:rFonts w:ascii="Times New Roman" w:hAnsi="Times New Roman" w:cs="Times New Roman"/>
          <w:kern w:val="1"/>
          <w:sz w:val="24"/>
          <w:szCs w:val="24"/>
        </w:rPr>
        <w:t>depublished</w:t>
      </w:r>
      <w:proofErr w:type="spellEnd"/>
      <w:r w:rsidRPr="00FA5329">
        <w:rPr>
          <w:rFonts w:ascii="Times New Roman" w:hAnsi="Times New Roman" w:cs="Times New Roman"/>
          <w:kern w:val="1"/>
          <w:sz w:val="24"/>
          <w:szCs w:val="24"/>
        </w:rPr>
        <w:t xml:space="preserve"> pg. 32]. The final issue raised in the appeal w</w:t>
      </w:r>
      <w:r w:rsidRPr="00FA5329">
        <w:rPr>
          <w:rFonts w:ascii="Times New Roman" w:hAnsi="Times New Roman" w:cs="Times New Roman"/>
          <w:kern w:val="1"/>
          <w:sz w:val="24"/>
          <w:szCs w:val="24"/>
        </w:rPr>
        <w:t>as that the RCIA did not adequately consider possible mitigation measures to the conversion of farmland to non-agricultural uses (the “farmland issue”). Whereas the CDC determined in the RCIA that there was no feasible mitigation for the conversion of farm</w:t>
      </w:r>
      <w:r w:rsidRPr="00FA5329">
        <w:rPr>
          <w:rFonts w:ascii="Times New Roman" w:hAnsi="Times New Roman" w:cs="Times New Roman"/>
          <w:kern w:val="1"/>
          <w:sz w:val="24"/>
          <w:szCs w:val="24"/>
        </w:rPr>
        <w:t>land to nonagricultural uses, Friends argued that CDC should have evaluated the possibility of establishing an easement on neighboring farmlands to prevent future developments from further reducing agricultural land uses in the area. The Court again reject</w:t>
      </w:r>
      <w:r w:rsidRPr="00FA5329">
        <w:rPr>
          <w:rFonts w:ascii="Times New Roman" w:hAnsi="Times New Roman" w:cs="Times New Roman"/>
          <w:kern w:val="1"/>
          <w:sz w:val="24"/>
          <w:szCs w:val="24"/>
        </w:rPr>
        <w:t>ed this argument on merits (Friends pg. 37; original pg. 567)</w:t>
      </w:r>
    </w:p>
    <w:p w14:paraId="1B583E9A"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The first argument, the “water issue,” concerned the CDC proposal to obtain its water supply from groundwater pumping on the site of the new prison. The existing farmland on the proposed site us</w:t>
      </w:r>
      <w:r w:rsidRPr="00FA5329">
        <w:rPr>
          <w:rFonts w:ascii="Times New Roman" w:hAnsi="Times New Roman" w:cs="Times New Roman"/>
          <w:kern w:val="1"/>
          <w:sz w:val="24"/>
          <w:szCs w:val="24"/>
        </w:rPr>
        <w:t>ed surface water supplied by SSJMUD, supplemented by a small amount of groundwater when needed (Friends [</w:t>
      </w:r>
      <w:proofErr w:type="spellStart"/>
      <w:r w:rsidRPr="00FA5329">
        <w:rPr>
          <w:rFonts w:ascii="Times New Roman" w:hAnsi="Times New Roman" w:cs="Times New Roman"/>
          <w:kern w:val="1"/>
          <w:sz w:val="24"/>
          <w:szCs w:val="24"/>
        </w:rPr>
        <w:t>depublished</w:t>
      </w:r>
      <w:proofErr w:type="spellEnd"/>
      <w:r w:rsidRPr="00FA5329">
        <w:rPr>
          <w:rFonts w:ascii="Times New Roman" w:hAnsi="Times New Roman" w:cs="Times New Roman"/>
          <w:kern w:val="1"/>
          <w:sz w:val="24"/>
          <w:szCs w:val="24"/>
        </w:rPr>
        <w:t xml:space="preserve"> pg. 9]). In the RCIA, the CDC proposed supplanting the SSJMUD supplied surface water previously used on the site with groundwater, and redi</w:t>
      </w:r>
      <w:r w:rsidRPr="00FA5329">
        <w:rPr>
          <w:rFonts w:ascii="Times New Roman" w:hAnsi="Times New Roman" w:cs="Times New Roman"/>
          <w:kern w:val="1"/>
          <w:sz w:val="24"/>
          <w:szCs w:val="24"/>
        </w:rPr>
        <w:t>stributing the treated wastewater for irrigation of neighboring farmlands (Friends [</w:t>
      </w:r>
      <w:proofErr w:type="spellStart"/>
      <w:r w:rsidRPr="00FA5329">
        <w:rPr>
          <w:rFonts w:ascii="Times New Roman" w:hAnsi="Times New Roman" w:cs="Times New Roman"/>
          <w:kern w:val="1"/>
          <w:sz w:val="24"/>
          <w:szCs w:val="24"/>
        </w:rPr>
        <w:t>depublished</w:t>
      </w:r>
      <w:proofErr w:type="spellEnd"/>
      <w:r w:rsidRPr="00FA5329">
        <w:rPr>
          <w:rFonts w:ascii="Times New Roman" w:hAnsi="Times New Roman" w:cs="Times New Roman"/>
          <w:kern w:val="1"/>
          <w:sz w:val="24"/>
          <w:szCs w:val="24"/>
        </w:rPr>
        <w:t xml:space="preserve"> pg. 9-10]). The RCIA concluded that groundwater pumping would result in significant environmental changes to both the local groundwater and surface water suppli</w:t>
      </w:r>
      <w:r w:rsidRPr="00FA5329">
        <w:rPr>
          <w:rFonts w:ascii="Times New Roman" w:hAnsi="Times New Roman" w:cs="Times New Roman"/>
          <w:kern w:val="1"/>
          <w:sz w:val="24"/>
          <w:szCs w:val="24"/>
        </w:rPr>
        <w:t xml:space="preserve">es. Friends argued that this conclusion was not supported by sufficient evidence. Rather than address the The Court of Appeals ruled that CDC was shielded from the water issue because Friends “failed to exhausted </w:t>
      </w:r>
      <w:r w:rsidRPr="00FA5329">
        <w:rPr>
          <w:rFonts w:ascii="Times New Roman" w:hAnsi="Times New Roman" w:cs="Times New Roman"/>
          <w:kern w:val="1"/>
          <w:sz w:val="24"/>
          <w:szCs w:val="24"/>
        </w:rPr>
        <w:lastRenderedPageBreak/>
        <w:t xml:space="preserve">its administrative remedies with regard to </w:t>
      </w:r>
      <w:r w:rsidRPr="00FA5329">
        <w:rPr>
          <w:rFonts w:ascii="Times New Roman" w:hAnsi="Times New Roman" w:cs="Times New Roman"/>
          <w:kern w:val="1"/>
          <w:sz w:val="24"/>
          <w:szCs w:val="24"/>
        </w:rPr>
        <w:t>the issue it [raised] concerning the use of water at the site” (</w:t>
      </w:r>
      <w:r w:rsidRPr="00FA5329">
        <w:rPr>
          <w:rFonts w:ascii="Times New Roman" w:hAnsi="Times New Roman" w:cs="Times New Roman"/>
          <w:kern w:val="1"/>
          <w:sz w:val="24"/>
          <w:szCs w:val="24"/>
          <w:highlight w:val="yellow"/>
        </w:rPr>
        <w:t>Friends [</w:t>
      </w:r>
      <w:proofErr w:type="spellStart"/>
      <w:r w:rsidRPr="00FA5329">
        <w:rPr>
          <w:rFonts w:ascii="Times New Roman" w:hAnsi="Times New Roman" w:cs="Times New Roman"/>
          <w:kern w:val="1"/>
          <w:sz w:val="24"/>
          <w:szCs w:val="24"/>
          <w:highlight w:val="yellow"/>
        </w:rPr>
        <w:t>depublished</w:t>
      </w:r>
      <w:proofErr w:type="spellEnd"/>
      <w:r w:rsidRPr="00FA5329">
        <w:rPr>
          <w:rFonts w:ascii="Times New Roman" w:hAnsi="Times New Roman" w:cs="Times New Roman"/>
          <w:kern w:val="1"/>
          <w:sz w:val="24"/>
          <w:szCs w:val="24"/>
          <w:highlight w:val="yellow"/>
        </w:rPr>
        <w:t xml:space="preserve"> pg. 9]</w:t>
      </w:r>
      <w:r w:rsidRPr="00FA5329">
        <w:rPr>
          <w:rFonts w:ascii="Times New Roman" w:hAnsi="Times New Roman" w:cs="Times New Roman"/>
          <w:kern w:val="1"/>
          <w:sz w:val="24"/>
          <w:szCs w:val="24"/>
        </w:rPr>
        <w:t>). In order for an issue to be raised as the basis for legal action in a CEQA case, the party bringing the lawsuit needs to provide evidence that the issue was brought to the attention of the lead agency conducting the environmental review process, through</w:t>
      </w:r>
      <w:r w:rsidRPr="00FA5329">
        <w:rPr>
          <w:rFonts w:ascii="Times New Roman" w:hAnsi="Times New Roman" w:cs="Times New Roman"/>
          <w:kern w:val="1"/>
          <w:sz w:val="24"/>
          <w:szCs w:val="24"/>
        </w:rPr>
        <w:t xml:space="preserve"> official channels during the public feedback periods. </w:t>
      </w:r>
    </w:p>
    <w:p w14:paraId="23666361"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The Court of Appeals ruled that neither of the two letters brought forth as evidence of the administrative record sufficiently raised a valid reason to require CDC to further investigate the water imp</w:t>
      </w:r>
      <w:r w:rsidRPr="00FA5329">
        <w:rPr>
          <w:rFonts w:ascii="Times New Roman" w:hAnsi="Times New Roman" w:cs="Times New Roman"/>
          <w:kern w:val="1"/>
          <w:sz w:val="24"/>
          <w:szCs w:val="24"/>
        </w:rPr>
        <w:t>acts of the proposed prison prior to the certification of the RCIA. The first letter, the Court ruled, did not qualify as part of the administrative record since it was sent prior to publication of the RCIA, to someone other than the designated contact for</w:t>
      </w:r>
      <w:r w:rsidRPr="00FA5329">
        <w:rPr>
          <w:rFonts w:ascii="Times New Roman" w:hAnsi="Times New Roman" w:cs="Times New Roman"/>
          <w:kern w:val="1"/>
          <w:sz w:val="24"/>
          <w:szCs w:val="24"/>
        </w:rPr>
        <w:t xml:space="preserve"> the public comment period of the CEQA review. The second letter was included in the administrative record, however the CDC responded, and the Court concurred, that the letter based its arguments on economic impacts outside the scope of CEQA. As in NEPA, s</w:t>
      </w:r>
      <w:r w:rsidRPr="00FA5329">
        <w:rPr>
          <w:rFonts w:ascii="Times New Roman" w:hAnsi="Times New Roman" w:cs="Times New Roman"/>
          <w:kern w:val="1"/>
          <w:sz w:val="24"/>
          <w:szCs w:val="24"/>
        </w:rPr>
        <w:t xml:space="preserve">ocioeconomic considerations are not </w:t>
      </w:r>
      <w:r w:rsidRPr="00FA5329">
        <w:rPr>
          <w:rFonts w:ascii="Times New Roman" w:hAnsi="Times New Roman" w:cs="Times New Roman"/>
          <w:i/>
          <w:kern w:val="1"/>
          <w:sz w:val="24"/>
          <w:szCs w:val="24"/>
        </w:rPr>
        <w:t>per se</w:t>
      </w:r>
      <w:r w:rsidRPr="00FA5329">
        <w:rPr>
          <w:rFonts w:ascii="Times New Roman" w:hAnsi="Times New Roman" w:cs="Times New Roman"/>
          <w:kern w:val="1"/>
          <w:sz w:val="24"/>
          <w:szCs w:val="24"/>
        </w:rPr>
        <w:t xml:space="preserve"> covered by CEQA impact analysis requirements,</w:t>
      </w:r>
      <w:r w:rsidRPr="00FA5329">
        <w:rPr>
          <w:rFonts w:ascii="Times New Roman" w:hAnsi="Times New Roman" w:cs="Times New Roman"/>
          <w:kern w:val="1"/>
          <w:sz w:val="24"/>
          <w:szCs w:val="24"/>
          <w:vertAlign w:val="superscript"/>
        </w:rPr>
        <w:footnoteReference w:id="25"/>
      </w:r>
      <w:r w:rsidRPr="00FA5329">
        <w:rPr>
          <w:rFonts w:ascii="Times New Roman" w:hAnsi="Times New Roman" w:cs="Times New Roman"/>
          <w:kern w:val="1"/>
          <w:sz w:val="24"/>
          <w:szCs w:val="24"/>
        </w:rPr>
        <w:t xml:space="preserve"> however, socioeconomic effects directly caused by, or which result in changes to the physical environment can be considered.</w:t>
      </w:r>
      <w:r w:rsidRPr="00FA5329">
        <w:rPr>
          <w:rFonts w:ascii="Times New Roman" w:hAnsi="Times New Roman" w:cs="Times New Roman"/>
          <w:kern w:val="1"/>
          <w:sz w:val="24"/>
          <w:szCs w:val="24"/>
          <w:vertAlign w:val="superscript"/>
        </w:rPr>
        <w:footnoteReference w:id="26"/>
      </w:r>
      <w:r w:rsidRPr="00FA5329">
        <w:rPr>
          <w:rFonts w:ascii="Times New Roman" w:hAnsi="Times New Roman" w:cs="Times New Roman"/>
          <w:kern w:val="1"/>
          <w:sz w:val="24"/>
          <w:szCs w:val="24"/>
        </w:rPr>
        <w:t xml:space="preserve"> </w:t>
      </w:r>
      <w:r w:rsidRPr="00FA5329">
        <w:rPr>
          <w:rFonts w:ascii="Times New Roman" w:hAnsi="Times New Roman" w:cs="Times New Roman"/>
          <w:kern w:val="1"/>
          <w:sz w:val="24"/>
          <w:szCs w:val="24"/>
        </w:rPr>
        <w:lastRenderedPageBreak/>
        <w:t>In the case of the second letter discuss</w:t>
      </w:r>
      <w:r w:rsidRPr="00FA5329">
        <w:rPr>
          <w:rFonts w:ascii="Times New Roman" w:hAnsi="Times New Roman" w:cs="Times New Roman"/>
          <w:kern w:val="1"/>
          <w:sz w:val="24"/>
          <w:szCs w:val="24"/>
        </w:rPr>
        <w:t>ing the water issue, the Court determined that the basis for dissent with the RCIA lay only in economic impacts to SSJMUD due to changes in water usage, and not due to changes in either the physical surface water or groundwater conditions, thereby disquali</w:t>
      </w:r>
      <w:r w:rsidRPr="00FA5329">
        <w:rPr>
          <w:rFonts w:ascii="Times New Roman" w:hAnsi="Times New Roman" w:cs="Times New Roman"/>
          <w:kern w:val="1"/>
          <w:sz w:val="24"/>
          <w:szCs w:val="24"/>
        </w:rPr>
        <w:t>fying the letter as part of the administrative record justifying legal action under CEQA.</w:t>
      </w:r>
      <w:r w:rsidRPr="00FA5329">
        <w:rPr>
          <w:rFonts w:ascii="Times New Roman" w:hAnsi="Times New Roman" w:cs="Times New Roman"/>
          <w:kern w:val="1"/>
          <w:sz w:val="24"/>
          <w:szCs w:val="24"/>
          <w:vertAlign w:val="superscript"/>
        </w:rPr>
        <w:footnoteReference w:id="27"/>
      </w:r>
      <w:r w:rsidRPr="00FA5329">
        <w:rPr>
          <w:rFonts w:ascii="Times New Roman" w:hAnsi="Times New Roman" w:cs="Times New Roman"/>
          <w:kern w:val="1"/>
          <w:sz w:val="24"/>
          <w:szCs w:val="24"/>
        </w:rPr>
        <w:t xml:space="preserve"> This nuance of causality, dependent upon physical changes to the environment, is one of the important ways in which judicial narrowing decreases the scope and applic</w:t>
      </w:r>
      <w:r w:rsidRPr="00FA5329">
        <w:rPr>
          <w:rFonts w:ascii="Times New Roman" w:hAnsi="Times New Roman" w:cs="Times New Roman"/>
          <w:kern w:val="1"/>
          <w:sz w:val="24"/>
          <w:szCs w:val="24"/>
        </w:rPr>
        <w:t xml:space="preserve">ability of NEPA and similar EIA statutes. </w:t>
      </w:r>
    </w:p>
    <w:p w14:paraId="29FF3404"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The third argument Friends made in the Court of Appeals concerned the conversion of farmland to nonagricultural uses to accommodate the proposed prison and its associated infrastructure. The RCIA concluded that a </w:t>
      </w:r>
      <w:r w:rsidRPr="00FA5329">
        <w:rPr>
          <w:rFonts w:ascii="Times New Roman" w:hAnsi="Times New Roman" w:cs="Times New Roman"/>
          <w:kern w:val="1"/>
          <w:sz w:val="24"/>
          <w:szCs w:val="24"/>
        </w:rPr>
        <w:t xml:space="preserve">total of 2,300 acres of agricultural land would be </w:t>
      </w:r>
      <w:r w:rsidRPr="00FA5329">
        <w:rPr>
          <w:rFonts w:ascii="Times New Roman" w:hAnsi="Times New Roman" w:cs="Times New Roman"/>
          <w:kern w:val="1"/>
          <w:sz w:val="24"/>
          <w:szCs w:val="24"/>
        </w:rPr>
        <w:lastRenderedPageBreak/>
        <w:t>converted to nonagricultural uses, and that no mitigation measures were available to reduce this impact to the environment. Therefore, it concluded that the conversion of farmland was a significant and una</w:t>
      </w:r>
      <w:r w:rsidRPr="00FA5329">
        <w:rPr>
          <w:rFonts w:ascii="Times New Roman" w:hAnsi="Times New Roman" w:cs="Times New Roman"/>
          <w:kern w:val="1"/>
          <w:sz w:val="24"/>
          <w:szCs w:val="24"/>
        </w:rPr>
        <w:t>voidable environmental impact (Friends [original pg. 564]). Friends argued that this conclusion was insufficient because it failed to consider, among other things, the possibility of mitigating the environmental impact through the establishment of agricult</w:t>
      </w:r>
      <w:r w:rsidRPr="00FA5329">
        <w:rPr>
          <w:rFonts w:ascii="Times New Roman" w:hAnsi="Times New Roman" w:cs="Times New Roman"/>
          <w:kern w:val="1"/>
          <w:sz w:val="24"/>
          <w:szCs w:val="24"/>
        </w:rPr>
        <w:t xml:space="preserve">ural easements on farmland in the vicinity of the proposed prison (Friends [original </w:t>
      </w:r>
      <w:proofErr w:type="spellStart"/>
      <w:r w:rsidRPr="00FA5329">
        <w:rPr>
          <w:rFonts w:ascii="Times New Roman" w:hAnsi="Times New Roman" w:cs="Times New Roman"/>
          <w:kern w:val="1"/>
          <w:sz w:val="24"/>
          <w:szCs w:val="24"/>
        </w:rPr>
        <w:t>pg</w:t>
      </w:r>
      <w:proofErr w:type="spellEnd"/>
      <w:r w:rsidRPr="00FA5329">
        <w:rPr>
          <w:rFonts w:ascii="Times New Roman" w:hAnsi="Times New Roman" w:cs="Times New Roman"/>
          <w:kern w:val="1"/>
          <w:sz w:val="24"/>
          <w:szCs w:val="24"/>
        </w:rPr>
        <w:t xml:space="preserve"> 565]; See also Williamson Act and California Farmland Conservancy Program Act). In theory, establishing an agricultural easement might function as a mitigation measure </w:t>
      </w:r>
      <w:r w:rsidRPr="00FA5329">
        <w:rPr>
          <w:rFonts w:ascii="Times New Roman" w:hAnsi="Times New Roman" w:cs="Times New Roman"/>
          <w:kern w:val="1"/>
          <w:sz w:val="24"/>
          <w:szCs w:val="24"/>
        </w:rPr>
        <w:t>for developing over agricultural lands by ensuring that some portion of existing agricultural lands are shielded in perpetuity from future developments. The Court rejected this argument on merits:</w:t>
      </w:r>
    </w:p>
    <w:p w14:paraId="3E7B44A3"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left="360"/>
        <w:rPr>
          <w:rFonts w:ascii="Times New Roman" w:hAnsi="Times New Roman" w:cs="Times New Roman"/>
          <w:kern w:val="1"/>
          <w:sz w:val="24"/>
          <w:szCs w:val="24"/>
        </w:rPr>
      </w:pPr>
      <w:r w:rsidRPr="00FA5329">
        <w:rPr>
          <w:rFonts w:ascii="Times New Roman" w:hAnsi="Times New Roman" w:cs="Times New Roman"/>
          <w:kern w:val="1"/>
          <w:sz w:val="24"/>
          <w:szCs w:val="24"/>
        </w:rPr>
        <w:t>The CDC correctly observed that once the prison is built a</w:t>
      </w:r>
      <w:r w:rsidRPr="00FA5329">
        <w:rPr>
          <w:rFonts w:ascii="Times New Roman" w:hAnsi="Times New Roman" w:cs="Times New Roman"/>
          <w:kern w:val="1"/>
          <w:sz w:val="24"/>
          <w:szCs w:val="24"/>
        </w:rPr>
        <w:t xml:space="preserve">nd the 480 acres of farmland at </w:t>
      </w:r>
      <w:r w:rsidRPr="00FA5329">
        <w:rPr>
          <w:rFonts w:ascii="Times New Roman" w:hAnsi="Times New Roman" w:cs="Times New Roman"/>
          <w:kern w:val="1"/>
          <w:sz w:val="24"/>
          <w:szCs w:val="24"/>
        </w:rPr>
        <w:t>that site have been converted to what the RCIA calls “an institutio</w:t>
      </w:r>
      <w:r w:rsidR="00FA5329">
        <w:rPr>
          <w:rFonts w:ascii="Times New Roman" w:hAnsi="Times New Roman" w:cs="Times New Roman"/>
          <w:kern w:val="1"/>
          <w:sz w:val="24"/>
          <w:szCs w:val="24"/>
        </w:rPr>
        <w:t xml:space="preserve">nal use” (i.e., a prison), the </w:t>
      </w:r>
      <w:r w:rsidRPr="00FA5329">
        <w:rPr>
          <w:rFonts w:ascii="Times New Roman" w:hAnsi="Times New Roman" w:cs="Times New Roman"/>
          <w:kern w:val="1"/>
          <w:sz w:val="24"/>
          <w:szCs w:val="24"/>
        </w:rPr>
        <w:t xml:space="preserve">480 acres of farmland will be gone…The only option for “mitigating or avoiding the </w:t>
      </w:r>
      <w:r w:rsidRPr="00FA5329">
        <w:rPr>
          <w:rFonts w:ascii="Times New Roman" w:hAnsi="Times New Roman" w:cs="Times New Roman"/>
          <w:kern w:val="1"/>
          <w:sz w:val="24"/>
          <w:szCs w:val="24"/>
        </w:rPr>
        <w:t>project’s contribution to” loss of farml</w:t>
      </w:r>
      <w:r w:rsidRPr="00FA5329">
        <w:rPr>
          <w:rFonts w:ascii="Times New Roman" w:hAnsi="Times New Roman" w:cs="Times New Roman"/>
          <w:kern w:val="1"/>
          <w:sz w:val="24"/>
          <w:szCs w:val="24"/>
        </w:rPr>
        <w:t xml:space="preserve">and would be to not build the prison. (Guidelines, § </w:t>
      </w:r>
      <w:r w:rsidRPr="00FA5329">
        <w:rPr>
          <w:rFonts w:ascii="Times New Roman" w:hAnsi="Times New Roman" w:cs="Times New Roman"/>
          <w:kern w:val="1"/>
          <w:sz w:val="24"/>
          <w:szCs w:val="24"/>
        </w:rPr>
        <w:t xml:space="preserve">15130, </w:t>
      </w:r>
      <w:proofErr w:type="spellStart"/>
      <w:r w:rsidRPr="00FA5329">
        <w:rPr>
          <w:rFonts w:ascii="Times New Roman" w:hAnsi="Times New Roman" w:cs="Times New Roman"/>
          <w:kern w:val="1"/>
          <w:sz w:val="24"/>
          <w:szCs w:val="24"/>
        </w:rPr>
        <w:t>subd</w:t>
      </w:r>
      <w:proofErr w:type="spellEnd"/>
      <w:r w:rsidRPr="00FA5329">
        <w:rPr>
          <w:rFonts w:ascii="Times New Roman" w:hAnsi="Times New Roman" w:cs="Times New Roman"/>
          <w:kern w:val="1"/>
          <w:sz w:val="24"/>
          <w:szCs w:val="24"/>
        </w:rPr>
        <w:t>. (b)(3).) This is in essence the “‘No project’ alt</w:t>
      </w:r>
      <w:r w:rsidR="00FA5329">
        <w:rPr>
          <w:rFonts w:ascii="Times New Roman" w:hAnsi="Times New Roman" w:cs="Times New Roman"/>
          <w:kern w:val="1"/>
          <w:sz w:val="24"/>
          <w:szCs w:val="24"/>
        </w:rPr>
        <w:t xml:space="preserve">ernative” which was required to </w:t>
      </w:r>
      <w:r w:rsidRPr="00FA5329">
        <w:rPr>
          <w:rFonts w:ascii="Times New Roman" w:hAnsi="Times New Roman" w:cs="Times New Roman"/>
          <w:kern w:val="1"/>
          <w:sz w:val="24"/>
          <w:szCs w:val="24"/>
        </w:rPr>
        <w:t xml:space="preserve">be discussed in the SEIR (see Guidelines, §15126.6, </w:t>
      </w:r>
      <w:proofErr w:type="spellStart"/>
      <w:r w:rsidRPr="00FA5329">
        <w:rPr>
          <w:rFonts w:ascii="Times New Roman" w:hAnsi="Times New Roman" w:cs="Times New Roman"/>
          <w:kern w:val="1"/>
          <w:sz w:val="24"/>
          <w:szCs w:val="24"/>
        </w:rPr>
        <w:t>subd</w:t>
      </w:r>
      <w:proofErr w:type="spellEnd"/>
      <w:r w:rsidRPr="00FA5329">
        <w:rPr>
          <w:rFonts w:ascii="Times New Roman" w:hAnsi="Times New Roman" w:cs="Times New Roman"/>
          <w:kern w:val="1"/>
          <w:sz w:val="24"/>
          <w:szCs w:val="24"/>
        </w:rPr>
        <w:t>. (e</w:t>
      </w:r>
      <w:proofErr w:type="gramStart"/>
      <w:r w:rsidRPr="00FA5329">
        <w:rPr>
          <w:rFonts w:ascii="Times New Roman" w:hAnsi="Times New Roman" w:cs="Times New Roman"/>
          <w:kern w:val="1"/>
          <w:sz w:val="24"/>
          <w:szCs w:val="24"/>
        </w:rPr>
        <w:t>))…</w:t>
      </w:r>
      <w:proofErr w:type="gramEnd"/>
    </w:p>
    <w:p w14:paraId="1A04EA1F"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ab/>
      </w:r>
    </w:p>
    <w:p w14:paraId="499676FC"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left="360"/>
        <w:rPr>
          <w:rFonts w:ascii="Times New Roman" w:hAnsi="Times New Roman" w:cs="Times New Roman"/>
          <w:kern w:val="1"/>
          <w:sz w:val="24"/>
          <w:szCs w:val="24"/>
        </w:rPr>
      </w:pPr>
      <w:r w:rsidRPr="00FA5329">
        <w:rPr>
          <w:rFonts w:ascii="Times New Roman" w:hAnsi="Times New Roman" w:cs="Times New Roman"/>
          <w:kern w:val="1"/>
          <w:sz w:val="24"/>
          <w:szCs w:val="24"/>
        </w:rPr>
        <w:t>Appellant’s suggestion that an agricultu</w:t>
      </w:r>
      <w:r w:rsidRPr="00FA5329">
        <w:rPr>
          <w:rFonts w:ascii="Times New Roman" w:hAnsi="Times New Roman" w:cs="Times New Roman"/>
          <w:kern w:val="1"/>
          <w:sz w:val="24"/>
          <w:szCs w:val="24"/>
        </w:rPr>
        <w:t>ral easement be creat</w:t>
      </w:r>
      <w:r w:rsidR="00FA5329">
        <w:rPr>
          <w:rFonts w:ascii="Times New Roman" w:hAnsi="Times New Roman" w:cs="Times New Roman"/>
          <w:kern w:val="1"/>
          <w:sz w:val="24"/>
          <w:szCs w:val="24"/>
        </w:rPr>
        <w:t>ed assumes, incorrectly in our v</w:t>
      </w:r>
      <w:r w:rsidRPr="00FA5329">
        <w:rPr>
          <w:rFonts w:ascii="Times New Roman" w:hAnsi="Times New Roman" w:cs="Times New Roman"/>
          <w:kern w:val="1"/>
          <w:sz w:val="24"/>
          <w:szCs w:val="24"/>
        </w:rPr>
        <w:t xml:space="preserve">iew, that the creation of an agricultural easement would constitute “mitigation.” We </w:t>
      </w:r>
      <w:r w:rsidRPr="00FA5329">
        <w:rPr>
          <w:rFonts w:ascii="Times New Roman" w:hAnsi="Times New Roman" w:cs="Times New Roman"/>
          <w:kern w:val="1"/>
          <w:sz w:val="24"/>
          <w:szCs w:val="24"/>
        </w:rPr>
        <w:t xml:space="preserve">disagree…The easement would presumably not be on the site of one of the “probable </w:t>
      </w:r>
      <w:r w:rsidRPr="00FA5329">
        <w:rPr>
          <w:rFonts w:ascii="Times New Roman" w:hAnsi="Times New Roman" w:cs="Times New Roman"/>
          <w:kern w:val="1"/>
          <w:sz w:val="24"/>
          <w:szCs w:val="24"/>
        </w:rPr>
        <w:tab/>
        <w:t>future projects” identified in th</w:t>
      </w:r>
      <w:r w:rsidRPr="00FA5329">
        <w:rPr>
          <w:rFonts w:ascii="Times New Roman" w:hAnsi="Times New Roman" w:cs="Times New Roman"/>
          <w:kern w:val="1"/>
          <w:sz w:val="24"/>
          <w:szCs w:val="24"/>
        </w:rPr>
        <w:t xml:space="preserve">e RCIA. (Guidelines § 15130, </w:t>
      </w:r>
      <w:proofErr w:type="spellStart"/>
      <w:r w:rsidRPr="00FA5329">
        <w:rPr>
          <w:rFonts w:ascii="Times New Roman" w:hAnsi="Times New Roman" w:cs="Times New Roman"/>
          <w:kern w:val="1"/>
          <w:sz w:val="24"/>
          <w:szCs w:val="24"/>
        </w:rPr>
        <w:t>subd</w:t>
      </w:r>
      <w:proofErr w:type="spellEnd"/>
      <w:r w:rsidRPr="00FA5329">
        <w:rPr>
          <w:rFonts w:ascii="Times New Roman" w:hAnsi="Times New Roman" w:cs="Times New Roman"/>
          <w:kern w:val="1"/>
          <w:sz w:val="24"/>
          <w:szCs w:val="24"/>
        </w:rPr>
        <w:t xml:space="preserve">. (b)(1)(A).) It would thus </w:t>
      </w:r>
      <w:r w:rsidRPr="00FA5329">
        <w:rPr>
          <w:rFonts w:ascii="Times New Roman" w:hAnsi="Times New Roman" w:cs="Times New Roman"/>
          <w:kern w:val="1"/>
          <w:sz w:val="24"/>
          <w:szCs w:val="24"/>
        </w:rPr>
        <w:tab/>
        <w:t xml:space="preserve">not reduce or mitigate the loss of farmland caused by this project or by the “probable future </w:t>
      </w:r>
      <w:r w:rsidRPr="00FA5329">
        <w:rPr>
          <w:rFonts w:ascii="Times New Roman" w:hAnsi="Times New Roman" w:cs="Times New Roman"/>
          <w:kern w:val="1"/>
          <w:sz w:val="24"/>
          <w:szCs w:val="24"/>
        </w:rPr>
        <w:t xml:space="preserve">projects” (Guidelines, § 15130, </w:t>
      </w:r>
      <w:proofErr w:type="spellStart"/>
      <w:r w:rsidRPr="00FA5329">
        <w:rPr>
          <w:rFonts w:ascii="Times New Roman" w:hAnsi="Times New Roman" w:cs="Times New Roman"/>
          <w:kern w:val="1"/>
          <w:sz w:val="24"/>
          <w:szCs w:val="24"/>
        </w:rPr>
        <w:t>subd</w:t>
      </w:r>
      <w:proofErr w:type="spellEnd"/>
      <w:r w:rsidRPr="00FA5329">
        <w:rPr>
          <w:rFonts w:ascii="Times New Roman" w:hAnsi="Times New Roman" w:cs="Times New Roman"/>
          <w:kern w:val="1"/>
          <w:sz w:val="24"/>
          <w:szCs w:val="24"/>
        </w:rPr>
        <w:t xml:space="preserve">. (b)(1)(A), § 15065, </w:t>
      </w:r>
      <w:proofErr w:type="spellStart"/>
      <w:r w:rsidRPr="00FA5329">
        <w:rPr>
          <w:rFonts w:ascii="Times New Roman" w:hAnsi="Times New Roman" w:cs="Times New Roman"/>
          <w:kern w:val="1"/>
          <w:sz w:val="24"/>
          <w:szCs w:val="24"/>
        </w:rPr>
        <w:t>subd</w:t>
      </w:r>
      <w:proofErr w:type="spellEnd"/>
      <w:r w:rsidRPr="00FA5329">
        <w:rPr>
          <w:rFonts w:ascii="Times New Roman" w:hAnsi="Times New Roman" w:cs="Times New Roman"/>
          <w:kern w:val="1"/>
          <w:sz w:val="24"/>
          <w:szCs w:val="24"/>
        </w:rPr>
        <w:t xml:space="preserve">. (c).) The suggested </w:t>
      </w:r>
      <w:r w:rsidRPr="00FA5329">
        <w:rPr>
          <w:rFonts w:ascii="Times New Roman" w:hAnsi="Times New Roman" w:cs="Times New Roman"/>
          <w:kern w:val="1"/>
          <w:sz w:val="24"/>
          <w:szCs w:val="24"/>
        </w:rPr>
        <w:lastRenderedPageBreak/>
        <w:t>agricultural e</w:t>
      </w:r>
      <w:r w:rsidRPr="00FA5329">
        <w:rPr>
          <w:rFonts w:ascii="Times New Roman" w:hAnsi="Times New Roman" w:cs="Times New Roman"/>
          <w:kern w:val="1"/>
          <w:sz w:val="24"/>
          <w:szCs w:val="24"/>
        </w:rPr>
        <w:t xml:space="preserve">asement would presumably not create any new farmland where no farmland </w:t>
      </w:r>
      <w:r w:rsidRPr="00FA5329">
        <w:rPr>
          <w:rFonts w:ascii="Times New Roman" w:hAnsi="Times New Roman" w:cs="Times New Roman"/>
          <w:kern w:val="1"/>
          <w:sz w:val="24"/>
          <w:szCs w:val="24"/>
        </w:rPr>
        <w:t xml:space="preserve">presently exists (at least appellant does not so claim). Thus an agricultural easement would </w:t>
      </w:r>
      <w:r w:rsidRPr="00FA5329">
        <w:rPr>
          <w:rFonts w:ascii="Times New Roman" w:hAnsi="Times New Roman" w:cs="Times New Roman"/>
          <w:kern w:val="1"/>
          <w:sz w:val="24"/>
          <w:szCs w:val="24"/>
        </w:rPr>
        <w:t xml:space="preserve">not compensate for a loss of farmland “by replacing or providing substitute resources or </w:t>
      </w:r>
      <w:r w:rsidRPr="00FA5329">
        <w:rPr>
          <w:rFonts w:ascii="Times New Roman" w:hAnsi="Times New Roman" w:cs="Times New Roman"/>
          <w:kern w:val="1"/>
          <w:sz w:val="24"/>
          <w:szCs w:val="24"/>
        </w:rPr>
        <w:t xml:space="preserve">environments” (Guidelines § 15370, </w:t>
      </w:r>
      <w:proofErr w:type="spellStart"/>
      <w:r w:rsidRPr="00FA5329">
        <w:rPr>
          <w:rFonts w:ascii="Times New Roman" w:hAnsi="Times New Roman" w:cs="Times New Roman"/>
          <w:kern w:val="1"/>
          <w:sz w:val="24"/>
          <w:szCs w:val="24"/>
        </w:rPr>
        <w:t>subd</w:t>
      </w:r>
      <w:proofErr w:type="spellEnd"/>
      <w:r w:rsidRPr="00FA5329">
        <w:rPr>
          <w:rFonts w:ascii="Times New Roman" w:hAnsi="Times New Roman" w:cs="Times New Roman"/>
          <w:kern w:val="1"/>
          <w:sz w:val="24"/>
          <w:szCs w:val="24"/>
        </w:rPr>
        <w:t xml:space="preserve">. (e)), and would not fall within subdivision (e) of </w:t>
      </w:r>
      <w:r w:rsidRPr="00FA5329">
        <w:rPr>
          <w:rFonts w:ascii="Times New Roman" w:hAnsi="Times New Roman" w:cs="Times New Roman"/>
          <w:kern w:val="1"/>
          <w:sz w:val="24"/>
          <w:szCs w:val="24"/>
        </w:rPr>
        <w:t xml:space="preserve">Guidelines § 15370. At best, such an easement might prevent the future conversion of some </w:t>
      </w:r>
      <w:r w:rsidRPr="00FA5329">
        <w:rPr>
          <w:rFonts w:ascii="Times New Roman" w:hAnsi="Times New Roman" w:cs="Times New Roman"/>
          <w:kern w:val="1"/>
          <w:sz w:val="24"/>
          <w:szCs w:val="24"/>
        </w:rPr>
        <w:t>as yet unidentified parcel of farmland to a nonagricultural use. Althoug</w:t>
      </w:r>
      <w:r w:rsidRPr="00FA5329">
        <w:rPr>
          <w:rFonts w:ascii="Times New Roman" w:hAnsi="Times New Roman" w:cs="Times New Roman"/>
          <w:kern w:val="1"/>
          <w:sz w:val="24"/>
          <w:szCs w:val="24"/>
        </w:rPr>
        <w:t xml:space="preserve">h appellant might </w:t>
      </w:r>
      <w:r w:rsidRPr="00FA5329">
        <w:rPr>
          <w:rFonts w:ascii="Times New Roman" w:hAnsi="Times New Roman" w:cs="Times New Roman"/>
          <w:kern w:val="1"/>
          <w:sz w:val="24"/>
          <w:szCs w:val="24"/>
        </w:rPr>
        <w:t xml:space="preserve">deem this to be a desirable result, appellant’s desire for such a result does turn appellant’s </w:t>
      </w:r>
      <w:r w:rsidRPr="00FA5329">
        <w:rPr>
          <w:rFonts w:ascii="Times New Roman" w:hAnsi="Times New Roman" w:cs="Times New Roman"/>
          <w:kern w:val="1"/>
          <w:sz w:val="24"/>
          <w:szCs w:val="24"/>
        </w:rPr>
        <w:t xml:space="preserve">proposed action into mitigation of the cumulative impact (on farmland) of this project and </w:t>
      </w:r>
      <w:r w:rsidRPr="00FA5329">
        <w:rPr>
          <w:rFonts w:ascii="Times New Roman" w:hAnsi="Times New Roman" w:cs="Times New Roman"/>
          <w:kern w:val="1"/>
          <w:sz w:val="24"/>
          <w:szCs w:val="24"/>
        </w:rPr>
        <w:t>of the past, present, and probable future project</w:t>
      </w:r>
      <w:r w:rsidRPr="00FA5329">
        <w:rPr>
          <w:rFonts w:ascii="Times New Roman" w:hAnsi="Times New Roman" w:cs="Times New Roman"/>
          <w:kern w:val="1"/>
          <w:sz w:val="24"/>
          <w:szCs w:val="24"/>
        </w:rPr>
        <w:t>s properly considered in the RCIA. (Friends pg. 566-567)</w:t>
      </w:r>
    </w:p>
    <w:p w14:paraId="2C5F8594"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The basis for the Court’s ruling against Friends boils down to the rejection of the claim that an agricultural easement might mitigate the conversion of farmland into non-agricultural use. The ramifi</w:t>
      </w:r>
      <w:r w:rsidRPr="00FA5329">
        <w:rPr>
          <w:rFonts w:ascii="Times New Roman" w:hAnsi="Times New Roman" w:cs="Times New Roman"/>
          <w:kern w:val="1"/>
          <w:sz w:val="24"/>
          <w:szCs w:val="24"/>
        </w:rPr>
        <w:t>cations of this ruling extend beyond this case study, with continuing relevance in ongoing debates as to whether or not the loss of agricultural lands to development can be reasonably mitigated, and therefore, what responsibility government agencies have t</w:t>
      </w:r>
      <w:r w:rsidRPr="00FA5329">
        <w:rPr>
          <w:rFonts w:ascii="Times New Roman" w:hAnsi="Times New Roman" w:cs="Times New Roman"/>
          <w:kern w:val="1"/>
          <w:sz w:val="24"/>
          <w:szCs w:val="24"/>
        </w:rPr>
        <w:t>o evaluate and mitigate the effects of development projects on agricultural and other protected lands.</w:t>
      </w:r>
      <w:r w:rsidRPr="00FA5329">
        <w:rPr>
          <w:rFonts w:ascii="Times New Roman" w:hAnsi="Times New Roman" w:cs="Times New Roman"/>
          <w:kern w:val="1"/>
          <w:sz w:val="24"/>
          <w:szCs w:val="24"/>
          <w:vertAlign w:val="superscript"/>
        </w:rPr>
        <w:footnoteReference w:id="28"/>
      </w:r>
      <w:r w:rsidRPr="00FA5329">
        <w:rPr>
          <w:rFonts w:ascii="Times New Roman" w:hAnsi="Times New Roman" w:cs="Times New Roman"/>
          <w:kern w:val="1"/>
          <w:sz w:val="24"/>
          <w:szCs w:val="24"/>
        </w:rPr>
        <w:t xml:space="preserve"> Importantly, after the Court of Appeals issued its decision rejecting Friends’ appeal, Friends and its allies throughout the state successfully petition</w:t>
      </w:r>
      <w:r w:rsidRPr="00FA5329">
        <w:rPr>
          <w:rFonts w:ascii="Times New Roman" w:hAnsi="Times New Roman" w:cs="Times New Roman"/>
          <w:kern w:val="1"/>
          <w:sz w:val="24"/>
          <w:szCs w:val="24"/>
        </w:rPr>
        <w:t xml:space="preserve">ed the Court to </w:t>
      </w:r>
      <w:proofErr w:type="spellStart"/>
      <w:r w:rsidRPr="00FA5329">
        <w:rPr>
          <w:rFonts w:ascii="Times New Roman" w:hAnsi="Times New Roman" w:cs="Times New Roman"/>
          <w:kern w:val="1"/>
          <w:sz w:val="24"/>
          <w:szCs w:val="24"/>
        </w:rPr>
        <w:t>depublish</w:t>
      </w:r>
      <w:proofErr w:type="spellEnd"/>
      <w:r w:rsidRPr="00FA5329">
        <w:rPr>
          <w:rFonts w:ascii="Times New Roman" w:hAnsi="Times New Roman" w:cs="Times New Roman"/>
          <w:kern w:val="1"/>
          <w:sz w:val="24"/>
          <w:szCs w:val="24"/>
        </w:rPr>
        <w:t xml:space="preserve"> the final ruling, meaning that the case cannot be cited as legal precedent by either courts or parties in future cases.</w:t>
      </w:r>
      <w:r w:rsidRPr="00FA5329">
        <w:rPr>
          <w:rFonts w:ascii="Times New Roman" w:hAnsi="Times New Roman" w:cs="Times New Roman"/>
          <w:kern w:val="1"/>
          <w:sz w:val="24"/>
          <w:szCs w:val="24"/>
          <w:vertAlign w:val="superscript"/>
        </w:rPr>
        <w:footnoteReference w:id="29"/>
      </w:r>
      <w:r w:rsidRPr="00FA5329">
        <w:rPr>
          <w:rFonts w:ascii="Times New Roman" w:hAnsi="Times New Roman" w:cs="Times New Roman"/>
          <w:kern w:val="1"/>
          <w:sz w:val="24"/>
          <w:szCs w:val="24"/>
        </w:rPr>
        <w:t xml:space="preserve"> </w:t>
      </w:r>
    </w:p>
    <w:p w14:paraId="6794450C"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roofErr w:type="spellStart"/>
      <w:r w:rsidRPr="00FA5329">
        <w:rPr>
          <w:rFonts w:ascii="Times New Roman" w:hAnsi="Times New Roman" w:cs="Times New Roman"/>
          <w:kern w:val="1"/>
          <w:sz w:val="24"/>
          <w:szCs w:val="24"/>
        </w:rPr>
        <w:t>Depublication</w:t>
      </w:r>
      <w:proofErr w:type="spellEnd"/>
      <w:r w:rsidRPr="00FA5329">
        <w:rPr>
          <w:rFonts w:ascii="Times New Roman" w:hAnsi="Times New Roman" w:cs="Times New Roman"/>
          <w:kern w:val="1"/>
          <w:sz w:val="24"/>
          <w:szCs w:val="24"/>
        </w:rPr>
        <w:t xml:space="preserve"> of the </w:t>
      </w:r>
      <w:r w:rsidRPr="00FA5329">
        <w:rPr>
          <w:rFonts w:ascii="Times New Roman" w:hAnsi="Times New Roman" w:cs="Times New Roman"/>
          <w:i/>
          <w:kern w:val="1"/>
          <w:sz w:val="24"/>
          <w:szCs w:val="24"/>
        </w:rPr>
        <w:t xml:space="preserve">Friends </w:t>
      </w:r>
      <w:r w:rsidRPr="00FA5329">
        <w:rPr>
          <w:rFonts w:ascii="Times New Roman" w:hAnsi="Times New Roman" w:cs="Times New Roman"/>
          <w:kern w:val="1"/>
          <w:sz w:val="24"/>
          <w:szCs w:val="24"/>
        </w:rPr>
        <w:t>ruling has had an important and lasting impact on case law regarding mitigating</w:t>
      </w:r>
      <w:r w:rsidRPr="00FA5329">
        <w:rPr>
          <w:rFonts w:ascii="Times New Roman" w:hAnsi="Times New Roman" w:cs="Times New Roman"/>
          <w:kern w:val="1"/>
          <w:sz w:val="24"/>
          <w:szCs w:val="24"/>
        </w:rPr>
        <w:t xml:space="preserve"> the loss of agricultural lands within and beyond California, because even </w:t>
      </w:r>
      <w:r w:rsidRPr="00FA5329">
        <w:rPr>
          <w:rFonts w:ascii="Times New Roman" w:hAnsi="Times New Roman" w:cs="Times New Roman"/>
          <w:kern w:val="1"/>
          <w:sz w:val="24"/>
          <w:szCs w:val="24"/>
        </w:rPr>
        <w:lastRenderedPageBreak/>
        <w:t>though it cannot be cited as legal precedent, it still informs both administrative and legal decision making</w:t>
      </w:r>
      <w:r w:rsidRPr="00FA5329">
        <w:rPr>
          <w:rFonts w:ascii="Times New Roman" w:hAnsi="Times New Roman" w:cs="Times New Roman"/>
          <w:kern w:val="1"/>
          <w:sz w:val="24"/>
          <w:szCs w:val="24"/>
          <w:vertAlign w:val="superscript"/>
        </w:rPr>
        <w:footnoteReference w:id="30"/>
      </w:r>
      <w:r w:rsidRPr="00FA5329">
        <w:rPr>
          <w:rFonts w:ascii="Times New Roman" w:hAnsi="Times New Roman" w:cs="Times New Roman"/>
          <w:kern w:val="1"/>
          <w:sz w:val="24"/>
          <w:szCs w:val="24"/>
        </w:rPr>
        <w:t>. Additionally, courts have differed in their findings regarding the val</w:t>
      </w:r>
      <w:r w:rsidRPr="00FA5329">
        <w:rPr>
          <w:rFonts w:ascii="Times New Roman" w:hAnsi="Times New Roman" w:cs="Times New Roman"/>
          <w:kern w:val="1"/>
          <w:sz w:val="24"/>
          <w:szCs w:val="24"/>
        </w:rPr>
        <w:t xml:space="preserve">idity of easements or fees in-lieu as mitigation measures required to be considered under CEQA. Indeed, in 2004, the California Court of Appeals for the third district issued a conflicting ruling in </w:t>
      </w:r>
      <w:r w:rsidRPr="00FA5329">
        <w:rPr>
          <w:rFonts w:ascii="Times New Roman" w:hAnsi="Times New Roman" w:cs="Times New Roman"/>
          <w:i/>
          <w:kern w:val="1"/>
          <w:sz w:val="24"/>
          <w:szCs w:val="24"/>
        </w:rPr>
        <w:t xml:space="preserve">South County Citizens for Responsible Growth </w:t>
      </w:r>
      <w:proofErr w:type="gramStart"/>
      <w:r w:rsidRPr="00FA5329">
        <w:rPr>
          <w:rFonts w:ascii="Times New Roman" w:hAnsi="Times New Roman" w:cs="Times New Roman"/>
          <w:i/>
          <w:kern w:val="1"/>
          <w:sz w:val="24"/>
          <w:szCs w:val="24"/>
        </w:rPr>
        <w:t>v.</w:t>
      </w:r>
      <w:proofErr w:type="gramEnd"/>
      <w:r w:rsidRPr="00FA5329">
        <w:rPr>
          <w:rFonts w:ascii="Times New Roman" w:hAnsi="Times New Roman" w:cs="Times New Roman"/>
          <w:i/>
          <w:kern w:val="1"/>
          <w:sz w:val="24"/>
          <w:szCs w:val="24"/>
        </w:rPr>
        <w:t xml:space="preserve"> City of E</w:t>
      </w:r>
      <w:r w:rsidRPr="00FA5329">
        <w:rPr>
          <w:rFonts w:ascii="Times New Roman" w:hAnsi="Times New Roman" w:cs="Times New Roman"/>
          <w:i/>
          <w:kern w:val="1"/>
          <w:sz w:val="24"/>
          <w:szCs w:val="24"/>
        </w:rPr>
        <w:t>lk Grove</w:t>
      </w:r>
      <w:r w:rsidRPr="00FA5329">
        <w:rPr>
          <w:rFonts w:ascii="Times New Roman" w:hAnsi="Times New Roman" w:cs="Times New Roman"/>
          <w:kern w:val="1"/>
          <w:sz w:val="24"/>
          <w:szCs w:val="24"/>
        </w:rPr>
        <w:t xml:space="preserve"> (2004) (Cal.App.3 Dist.) that agricultural easements or conservation fees could mitigate the loss of agricultural lands to future development pressures, and therefore, the lead agency had an obligation under CEQA to address the issue in its impact</w:t>
      </w:r>
      <w:r w:rsidRPr="00FA5329">
        <w:rPr>
          <w:rFonts w:ascii="Times New Roman" w:hAnsi="Times New Roman" w:cs="Times New Roman"/>
          <w:kern w:val="1"/>
          <w:sz w:val="24"/>
          <w:szCs w:val="24"/>
        </w:rPr>
        <w:t xml:space="preserve"> assessments. The </w:t>
      </w:r>
      <w:r w:rsidRPr="00FA5329">
        <w:rPr>
          <w:rFonts w:ascii="Times New Roman" w:hAnsi="Times New Roman" w:cs="Times New Roman"/>
          <w:i/>
          <w:kern w:val="1"/>
          <w:sz w:val="24"/>
          <w:szCs w:val="24"/>
        </w:rPr>
        <w:t>South County Citizens</w:t>
      </w:r>
      <w:r w:rsidRPr="00FA5329">
        <w:rPr>
          <w:rFonts w:ascii="Times New Roman" w:hAnsi="Times New Roman" w:cs="Times New Roman"/>
          <w:kern w:val="1"/>
          <w:sz w:val="24"/>
          <w:szCs w:val="24"/>
        </w:rPr>
        <w:t xml:space="preserve"> decision was not published, so like the </w:t>
      </w:r>
      <w:r w:rsidRPr="00FA5329">
        <w:rPr>
          <w:rFonts w:ascii="Times New Roman" w:hAnsi="Times New Roman" w:cs="Times New Roman"/>
          <w:i/>
          <w:kern w:val="1"/>
          <w:sz w:val="24"/>
          <w:szCs w:val="24"/>
        </w:rPr>
        <w:t>Friends</w:t>
      </w:r>
      <w:r w:rsidRPr="00FA5329">
        <w:rPr>
          <w:rFonts w:ascii="Times New Roman" w:hAnsi="Times New Roman" w:cs="Times New Roman"/>
          <w:kern w:val="1"/>
          <w:sz w:val="24"/>
          <w:szCs w:val="24"/>
        </w:rPr>
        <w:t xml:space="preserve"> decision, it could not be cited as legal precedent. Then, a decade after the </w:t>
      </w:r>
      <w:r w:rsidRPr="00FA5329">
        <w:rPr>
          <w:rFonts w:ascii="Times New Roman" w:hAnsi="Times New Roman" w:cs="Times New Roman"/>
          <w:i/>
          <w:kern w:val="1"/>
          <w:sz w:val="24"/>
          <w:szCs w:val="24"/>
        </w:rPr>
        <w:t>Friends</w:t>
      </w:r>
      <w:r w:rsidRPr="00FA5329">
        <w:rPr>
          <w:rFonts w:ascii="Times New Roman" w:hAnsi="Times New Roman" w:cs="Times New Roman"/>
          <w:kern w:val="1"/>
          <w:sz w:val="24"/>
          <w:szCs w:val="24"/>
        </w:rPr>
        <w:t xml:space="preserve"> case was decided, the California Court of Appeals for the First District issued a d</w:t>
      </w:r>
      <w:r w:rsidRPr="00FA5329">
        <w:rPr>
          <w:rFonts w:ascii="Times New Roman" w:hAnsi="Times New Roman" w:cs="Times New Roman"/>
          <w:kern w:val="1"/>
          <w:sz w:val="24"/>
          <w:szCs w:val="24"/>
        </w:rPr>
        <w:t xml:space="preserve">ecision in the case of </w:t>
      </w:r>
      <w:r w:rsidRPr="00FA5329">
        <w:rPr>
          <w:rFonts w:ascii="Times New Roman" w:hAnsi="Times New Roman" w:cs="Times New Roman"/>
          <w:i/>
          <w:kern w:val="1"/>
          <w:sz w:val="24"/>
          <w:szCs w:val="24"/>
        </w:rPr>
        <w:t xml:space="preserve">Masonite Corp. </w:t>
      </w:r>
      <w:proofErr w:type="gramStart"/>
      <w:r w:rsidRPr="00FA5329">
        <w:rPr>
          <w:rFonts w:ascii="Times New Roman" w:hAnsi="Times New Roman" w:cs="Times New Roman"/>
          <w:i/>
          <w:kern w:val="1"/>
          <w:sz w:val="24"/>
          <w:szCs w:val="24"/>
        </w:rPr>
        <w:t>v.</w:t>
      </w:r>
      <w:proofErr w:type="gramEnd"/>
      <w:r w:rsidRPr="00FA5329">
        <w:rPr>
          <w:rFonts w:ascii="Times New Roman" w:hAnsi="Times New Roman" w:cs="Times New Roman"/>
          <w:i/>
          <w:kern w:val="1"/>
          <w:sz w:val="24"/>
          <w:szCs w:val="24"/>
        </w:rPr>
        <w:t xml:space="preserve"> County of Mendocino</w:t>
      </w:r>
      <w:r w:rsidRPr="00FA5329">
        <w:rPr>
          <w:rFonts w:ascii="Times New Roman" w:hAnsi="Times New Roman" w:cs="Times New Roman"/>
          <w:kern w:val="1"/>
          <w:sz w:val="24"/>
          <w:szCs w:val="24"/>
        </w:rPr>
        <w:t xml:space="preserve"> (218 Cal. App. 4th 230, 238, 241 (1st Dist. 2013)), in which the Court ruled, like in the South County Citizens decision, that a lead agency has a CEQA obligation to consider the use of easements</w:t>
      </w:r>
      <w:r w:rsidRPr="00FA5329">
        <w:rPr>
          <w:rFonts w:ascii="Times New Roman" w:hAnsi="Times New Roman" w:cs="Times New Roman"/>
          <w:kern w:val="1"/>
          <w:sz w:val="24"/>
          <w:szCs w:val="24"/>
        </w:rPr>
        <w:t xml:space="preserve"> or fees as appropriate mitigation measures for the conversion of agricultural lands. Unlike the previous two cases, this case was published, so at least in the First District, a precedent was finally established to require consideration of agricultural mi</w:t>
      </w:r>
      <w:r w:rsidRPr="00FA5329">
        <w:rPr>
          <w:rFonts w:ascii="Times New Roman" w:hAnsi="Times New Roman" w:cs="Times New Roman"/>
          <w:kern w:val="1"/>
          <w:sz w:val="24"/>
          <w:szCs w:val="24"/>
        </w:rPr>
        <w:t>tigation within the EIA process.</w:t>
      </w:r>
      <w:r w:rsidRPr="00FA5329">
        <w:rPr>
          <w:rFonts w:ascii="Times New Roman" w:hAnsi="Times New Roman" w:cs="Times New Roman"/>
          <w:kern w:val="1"/>
          <w:sz w:val="24"/>
          <w:szCs w:val="24"/>
          <w:vertAlign w:val="superscript"/>
        </w:rPr>
        <w:footnoteReference w:id="31"/>
      </w:r>
      <w:r w:rsidRPr="00FA5329">
        <w:rPr>
          <w:rFonts w:ascii="Times New Roman" w:hAnsi="Times New Roman" w:cs="Times New Roman"/>
          <w:kern w:val="1"/>
          <w:sz w:val="24"/>
          <w:szCs w:val="24"/>
        </w:rPr>
        <w:t xml:space="preserve"> </w:t>
      </w:r>
    </w:p>
    <w:p w14:paraId="3E29C5BC" w14:textId="77777777" w:rsidR="00AD15E8" w:rsidRPr="00FA5329" w:rsidRDefault="00AD15E8"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
    <w:p w14:paraId="6393981C"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My purpose in exploring the nuances of this (</w:t>
      </w:r>
      <w:proofErr w:type="spellStart"/>
      <w:r w:rsidRPr="00FA5329">
        <w:rPr>
          <w:rFonts w:ascii="Times New Roman" w:hAnsi="Times New Roman" w:cs="Times New Roman"/>
          <w:kern w:val="1"/>
          <w:sz w:val="24"/>
          <w:szCs w:val="24"/>
        </w:rPr>
        <w:t>depublished</w:t>
      </w:r>
      <w:proofErr w:type="spellEnd"/>
      <w:r w:rsidRPr="00FA5329">
        <w:rPr>
          <w:rFonts w:ascii="Times New Roman" w:hAnsi="Times New Roman" w:cs="Times New Roman"/>
          <w:kern w:val="1"/>
          <w:sz w:val="24"/>
          <w:szCs w:val="24"/>
        </w:rPr>
        <w:t xml:space="preserve">) court decision is not to nitpick or criticize the Court’s judicial discretion, but rather, to highlight both the </w:t>
      </w:r>
      <w:proofErr w:type="spellStart"/>
      <w:r w:rsidRPr="00FA5329">
        <w:rPr>
          <w:rFonts w:ascii="Times New Roman" w:hAnsi="Times New Roman" w:cs="Times New Roman"/>
          <w:kern w:val="1"/>
          <w:sz w:val="24"/>
          <w:szCs w:val="24"/>
        </w:rPr>
        <w:t>precarity</w:t>
      </w:r>
      <w:proofErr w:type="spellEnd"/>
      <w:r w:rsidRPr="00FA5329">
        <w:rPr>
          <w:rFonts w:ascii="Times New Roman" w:hAnsi="Times New Roman" w:cs="Times New Roman"/>
          <w:kern w:val="1"/>
          <w:sz w:val="24"/>
          <w:szCs w:val="24"/>
        </w:rPr>
        <w:t xml:space="preserve"> and potential flexibility of EIA </w:t>
      </w:r>
      <w:r w:rsidRPr="00FA5329">
        <w:rPr>
          <w:rFonts w:ascii="Times New Roman" w:hAnsi="Times New Roman" w:cs="Times New Roman"/>
          <w:kern w:val="1"/>
          <w:sz w:val="24"/>
          <w:szCs w:val="24"/>
        </w:rPr>
        <w:t>applicability. The ease with which the Court dismissed the entire water issue based on the technicalities of the record demonstrating the exhaustion of administrative remedies prior to legal action points to the limitations of legal relief in the EIA proce</w:t>
      </w:r>
      <w:r w:rsidRPr="00FA5329">
        <w:rPr>
          <w:rFonts w:ascii="Times New Roman" w:hAnsi="Times New Roman" w:cs="Times New Roman"/>
          <w:kern w:val="1"/>
          <w:sz w:val="24"/>
          <w:szCs w:val="24"/>
        </w:rPr>
        <w:t xml:space="preserve">ss, but also the </w:t>
      </w:r>
      <w:r w:rsidRPr="00FA5329">
        <w:rPr>
          <w:rFonts w:ascii="Times New Roman" w:hAnsi="Times New Roman" w:cs="Times New Roman"/>
          <w:kern w:val="1"/>
          <w:sz w:val="24"/>
          <w:szCs w:val="24"/>
        </w:rPr>
        <w:lastRenderedPageBreak/>
        <w:t>importance (and difficulty) of utilizing a strategy that fully engages the entire EIA process with legal exactitude. While the Court of Appeals ruling could not be predicted during the public feedback periods of the Delano</w:t>
      </w:r>
      <w:r w:rsidRPr="00FA5329">
        <w:rPr>
          <w:rFonts w:ascii="Times New Roman" w:hAnsi="Times New Roman" w:cs="Times New Roman"/>
          <w:kern w:val="1"/>
          <w:sz w:val="24"/>
          <w:szCs w:val="24"/>
          <w:highlight w:val="yellow"/>
        </w:rPr>
        <w:t xml:space="preserve"> EIA process, eng</w:t>
      </w:r>
      <w:r w:rsidRPr="00FA5329">
        <w:rPr>
          <w:rFonts w:ascii="Times New Roman" w:hAnsi="Times New Roman" w:cs="Times New Roman"/>
          <w:kern w:val="1"/>
          <w:sz w:val="24"/>
          <w:szCs w:val="24"/>
          <w:highlight w:val="yellow"/>
        </w:rPr>
        <w:t>aging a broad coalition of EIA respondents across a diverse range of issues did provide a crucial foothold for litigation.</w:t>
      </w:r>
    </w:p>
    <w:p w14:paraId="303F49B5" w14:textId="77777777" w:rsidR="00AD15E8" w:rsidRPr="00FA5329" w:rsidRDefault="00E70BBA" w:rsidP="00FA5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rPr>
          <w:rFonts w:ascii="Times New Roman" w:hAnsi="Times New Roman" w:cs="Times New Roman"/>
          <w:b/>
          <w:i/>
          <w:kern w:val="1"/>
          <w:sz w:val="24"/>
          <w:szCs w:val="24"/>
        </w:rPr>
      </w:pPr>
      <w:r w:rsidRPr="00FA5329">
        <w:rPr>
          <w:rFonts w:ascii="Times New Roman" w:hAnsi="Times New Roman" w:cs="Times New Roman"/>
          <w:b/>
          <w:i/>
          <w:kern w:val="1"/>
          <w:sz w:val="24"/>
          <w:szCs w:val="24"/>
        </w:rPr>
        <w:t>Resistance to the Prison</w:t>
      </w:r>
    </w:p>
    <w:p w14:paraId="06FB6EF0"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Back when Governor Davis made his push to pass the urgency legislation funding Delano II prison </w:t>
      </w:r>
      <w:r w:rsidRPr="00FA5329">
        <w:rPr>
          <w:rFonts w:ascii="Times New Roman" w:hAnsi="Times New Roman" w:cs="Times New Roman"/>
          <w:kern w:val="1"/>
          <w:sz w:val="24"/>
          <w:szCs w:val="24"/>
        </w:rPr>
        <w:t>construction, organizers from across the state rallied opposition to the funding bill at the state capitol. Despite their efforts, the bill was passed by the legislature. However, the energies directed at opposing the bill were not for naught, as the organ</w:t>
      </w:r>
      <w:r w:rsidRPr="00FA5329">
        <w:rPr>
          <w:rFonts w:ascii="Times New Roman" w:hAnsi="Times New Roman" w:cs="Times New Roman"/>
          <w:kern w:val="1"/>
          <w:sz w:val="24"/>
          <w:szCs w:val="24"/>
        </w:rPr>
        <w:t>izers maintained their momentum by redirecting their efforts toward other avenues of action, including the legal foothold afforded them by the environmental review process.</w:t>
      </w:r>
    </w:p>
    <w:p w14:paraId="76DB99EB"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In July, 2000, one month after the CDC filed the Notice of Determination (NOD) appr</w:t>
      </w:r>
      <w:r w:rsidRPr="00FA5329">
        <w:rPr>
          <w:rFonts w:ascii="Times New Roman" w:hAnsi="Times New Roman" w:cs="Times New Roman"/>
          <w:kern w:val="1"/>
          <w:sz w:val="24"/>
          <w:szCs w:val="24"/>
        </w:rPr>
        <w:t>oving the Final SEIR, a coalition of prison abolitionists and environmental justice activists filed a lawsuit against CDC to prevent construction from commencing because of alleged inadequacies in the SEIR. The coalition was represented by environmental la</w:t>
      </w:r>
      <w:r w:rsidRPr="00FA5329">
        <w:rPr>
          <w:rFonts w:ascii="Times New Roman" w:hAnsi="Times New Roman" w:cs="Times New Roman"/>
          <w:kern w:val="1"/>
          <w:sz w:val="24"/>
          <w:szCs w:val="24"/>
        </w:rPr>
        <w:t xml:space="preserve">wyer </w:t>
      </w:r>
      <w:proofErr w:type="spellStart"/>
      <w:r w:rsidRPr="00FA5329">
        <w:rPr>
          <w:rFonts w:ascii="Times New Roman" w:hAnsi="Times New Roman" w:cs="Times New Roman"/>
          <w:kern w:val="1"/>
          <w:sz w:val="24"/>
          <w:szCs w:val="24"/>
        </w:rPr>
        <w:t>Babak</w:t>
      </w:r>
      <w:proofErr w:type="spellEnd"/>
      <w:r w:rsidRPr="00FA5329">
        <w:rPr>
          <w:rFonts w:ascii="Times New Roman" w:hAnsi="Times New Roman" w:cs="Times New Roman"/>
          <w:kern w:val="1"/>
          <w:sz w:val="24"/>
          <w:szCs w:val="24"/>
        </w:rPr>
        <w:t xml:space="preserve"> </w:t>
      </w:r>
      <w:proofErr w:type="spellStart"/>
      <w:r w:rsidRPr="00FA5329">
        <w:rPr>
          <w:rFonts w:ascii="Times New Roman" w:hAnsi="Times New Roman" w:cs="Times New Roman"/>
          <w:kern w:val="1"/>
          <w:sz w:val="24"/>
          <w:szCs w:val="24"/>
        </w:rPr>
        <w:t>Naficy</w:t>
      </w:r>
      <w:proofErr w:type="spellEnd"/>
      <w:r w:rsidRPr="00FA5329">
        <w:rPr>
          <w:rFonts w:ascii="Times New Roman" w:hAnsi="Times New Roman" w:cs="Times New Roman"/>
          <w:kern w:val="1"/>
          <w:sz w:val="24"/>
          <w:szCs w:val="24"/>
        </w:rPr>
        <w:t>, Esq., who filed the lawsuit against CDC with the Kern County Superior Court of California on behalf of the three named plaintiffs, Critical Resistance (CR), the National Lawyers Guild Prison Law Project (NLGPLP), and Friends of the Kanga</w:t>
      </w:r>
      <w:r w:rsidRPr="00FA5329">
        <w:rPr>
          <w:rFonts w:ascii="Times New Roman" w:hAnsi="Times New Roman" w:cs="Times New Roman"/>
          <w:kern w:val="1"/>
          <w:sz w:val="24"/>
          <w:szCs w:val="24"/>
        </w:rPr>
        <w:t>roo Rat. The lawsuit petitioned for a Writ of Administrative Mandate and injunctive relief, or in other words, requested the court to review and overturn the CDC decision to approve the Delano II SEIR and halt further action toward prison construction. CDC</w:t>
      </w:r>
      <w:r w:rsidRPr="00FA5329">
        <w:rPr>
          <w:rFonts w:ascii="Times New Roman" w:hAnsi="Times New Roman" w:cs="Times New Roman"/>
          <w:kern w:val="1"/>
          <w:sz w:val="24"/>
          <w:szCs w:val="24"/>
        </w:rPr>
        <w:t xml:space="preserve"> immediately challenged the legal grounds for CR and NLGPLP to participate in the lawsuit. CDC asserted that both parties lacked standing, or the legal basis for claiming harms caused by the proposed prison. CDC's lawyers claimed that the intent for both </w:t>
      </w:r>
      <w:r w:rsidRPr="00FA5329">
        <w:rPr>
          <w:rFonts w:ascii="Times New Roman" w:hAnsi="Times New Roman" w:cs="Times New Roman"/>
          <w:kern w:val="1"/>
          <w:sz w:val="24"/>
          <w:szCs w:val="24"/>
        </w:rPr>
        <w:lastRenderedPageBreak/>
        <w:t>C</w:t>
      </w:r>
      <w:r w:rsidRPr="00FA5329">
        <w:rPr>
          <w:rFonts w:ascii="Times New Roman" w:hAnsi="Times New Roman" w:cs="Times New Roman"/>
          <w:kern w:val="1"/>
          <w:sz w:val="24"/>
          <w:szCs w:val="24"/>
        </w:rPr>
        <w:t xml:space="preserve">R and </w:t>
      </w:r>
      <w:proofErr w:type="spellStart"/>
      <w:r w:rsidRPr="00FA5329">
        <w:rPr>
          <w:rFonts w:ascii="Times New Roman" w:hAnsi="Times New Roman" w:cs="Times New Roman"/>
          <w:kern w:val="1"/>
          <w:sz w:val="24"/>
          <w:szCs w:val="24"/>
        </w:rPr>
        <w:t>NLGPLPto</w:t>
      </w:r>
      <w:proofErr w:type="spellEnd"/>
      <w:r w:rsidRPr="00FA5329">
        <w:rPr>
          <w:rFonts w:ascii="Times New Roman" w:hAnsi="Times New Roman" w:cs="Times New Roman"/>
          <w:kern w:val="1"/>
          <w:sz w:val="24"/>
          <w:szCs w:val="24"/>
        </w:rPr>
        <w:t xml:space="preserve"> bring suit was predicated not on environmental harms that might result from shortcomings in the SEIR, but rather, on a non-environmental political agenda aimed at stopping prison expansion.</w:t>
      </w:r>
    </w:p>
    <w:p w14:paraId="61ACB711"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 </w:t>
      </w:r>
    </w:p>
    <w:p w14:paraId="39F7FA31"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Several months after the campaign organizers file</w:t>
      </w:r>
      <w:r w:rsidRPr="00FA5329">
        <w:rPr>
          <w:rFonts w:ascii="Times New Roman" w:hAnsi="Times New Roman" w:cs="Times New Roman"/>
          <w:kern w:val="1"/>
          <w:sz w:val="24"/>
          <w:szCs w:val="24"/>
        </w:rPr>
        <w:t>d their lawsuit against CDC, they organized a conference in Fresno, about 90 miles north of Delano, to bring together prison abolitionists and environmental justice activists from across California. This conference, titled “Joining Forces: Environmental Ju</w:t>
      </w:r>
      <w:r w:rsidRPr="00FA5329">
        <w:rPr>
          <w:rFonts w:ascii="Times New Roman" w:hAnsi="Times New Roman" w:cs="Times New Roman"/>
          <w:kern w:val="1"/>
          <w:sz w:val="24"/>
          <w:szCs w:val="24"/>
        </w:rPr>
        <w:t>stice and the Fight Against Prison Expansion,” aimed to build political alliances that took advantage of the conceptual linkages between existing anti-racist social justice struggles and environmental justice networks throughout California. One of the outc</w:t>
      </w:r>
      <w:r w:rsidRPr="00FA5329">
        <w:rPr>
          <w:rFonts w:ascii="Times New Roman" w:hAnsi="Times New Roman" w:cs="Times New Roman"/>
          <w:kern w:val="1"/>
          <w:sz w:val="24"/>
          <w:szCs w:val="24"/>
        </w:rPr>
        <w:t>omes from the conference was a network of supporters backing the lawsuit against CDC, and several organizations subsequently filed amici curiae briefs on behalf of the organizers.</w:t>
      </w:r>
    </w:p>
    <w:p w14:paraId="7945FCAB"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Nearly a full year elapsed before the Superior Court finally handed down its</w:t>
      </w:r>
      <w:r w:rsidRPr="00FA5329">
        <w:rPr>
          <w:rFonts w:ascii="Times New Roman" w:hAnsi="Times New Roman" w:cs="Times New Roman"/>
          <w:kern w:val="1"/>
          <w:sz w:val="24"/>
          <w:szCs w:val="24"/>
        </w:rPr>
        <w:t xml:space="preserve"> decision in the lawsuit. The court ruled that ultimately, the SEIR submitted by the CDC was insufficient to account for the combined cumulative impacts of the proposed prison in light of the existing prison on the adjacent lot. The court ordered CDC to ad</w:t>
      </w:r>
      <w:r w:rsidRPr="00FA5329">
        <w:rPr>
          <w:rFonts w:ascii="Times New Roman" w:hAnsi="Times New Roman" w:cs="Times New Roman"/>
          <w:kern w:val="1"/>
          <w:sz w:val="24"/>
          <w:szCs w:val="24"/>
        </w:rPr>
        <w:t>dress these deficiencies by completing further environmental assessments, including the public review process, effectively halting construction plans for the time being.</w:t>
      </w:r>
      <w:r w:rsidRPr="00FA5329">
        <w:rPr>
          <w:rFonts w:ascii="Times New Roman" w:hAnsi="Times New Roman" w:cs="Times New Roman"/>
          <w:kern w:val="1"/>
          <w:sz w:val="24"/>
          <w:szCs w:val="24"/>
          <w:vertAlign w:val="superscript"/>
        </w:rPr>
        <w:footnoteReference w:id="32"/>
      </w:r>
      <w:r w:rsidRPr="00FA5329">
        <w:rPr>
          <w:rFonts w:ascii="Times New Roman" w:hAnsi="Times New Roman" w:cs="Times New Roman"/>
          <w:kern w:val="1"/>
          <w:sz w:val="24"/>
          <w:szCs w:val="24"/>
        </w:rPr>
        <w:t xml:space="preserve"> This marked a tremendous victory for the coalition of abolitionists, environmental ju</w:t>
      </w:r>
      <w:r w:rsidRPr="00FA5329">
        <w:rPr>
          <w:rFonts w:ascii="Times New Roman" w:hAnsi="Times New Roman" w:cs="Times New Roman"/>
          <w:kern w:val="1"/>
          <w:sz w:val="24"/>
          <w:szCs w:val="24"/>
        </w:rPr>
        <w:t>stice activists, local residents, and even state officials drawn in to the conflict.</w:t>
      </w:r>
    </w:p>
    <w:p w14:paraId="0CFB2848"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The CDC submitted a Revised Cumulative Impact Assessment, and after another two years of litigation, eventually had the stay on construction lifted by the Court of Appeals</w:t>
      </w:r>
      <w:r w:rsidRPr="00FA5329">
        <w:rPr>
          <w:rFonts w:ascii="Times New Roman" w:hAnsi="Times New Roman" w:cs="Times New Roman"/>
          <w:kern w:val="1"/>
          <w:sz w:val="24"/>
          <w:szCs w:val="24"/>
        </w:rPr>
        <w:t xml:space="preserve">. Down </w:t>
      </w:r>
      <w:r w:rsidRPr="00FA5329">
        <w:rPr>
          <w:rFonts w:ascii="Times New Roman" w:hAnsi="Times New Roman" w:cs="Times New Roman"/>
          <w:kern w:val="1"/>
          <w:sz w:val="24"/>
          <w:szCs w:val="24"/>
        </w:rPr>
        <w:lastRenderedPageBreak/>
        <w:t>but not out, the campaign organizers switched their efforts from the legal strategy based around the prison’s environmental impact to a legislative strategy aimed at stopping the prison from being funded. The legal campaign waged through environment</w:t>
      </w:r>
      <w:r w:rsidRPr="00FA5329">
        <w:rPr>
          <w:rFonts w:ascii="Times New Roman" w:hAnsi="Times New Roman" w:cs="Times New Roman"/>
          <w:kern w:val="1"/>
          <w:sz w:val="24"/>
          <w:szCs w:val="24"/>
        </w:rPr>
        <w:t>al policy infrastructure generated a broad base of supporters in the campaign to stop the prison from being funded. The strategy of linking the prison construction to environmental justice issues, social justice issues for working-class communities of colo</w:t>
      </w:r>
      <w:r w:rsidRPr="00FA5329">
        <w:rPr>
          <w:rFonts w:ascii="Times New Roman" w:hAnsi="Times New Roman" w:cs="Times New Roman"/>
          <w:kern w:val="1"/>
          <w:sz w:val="24"/>
          <w:szCs w:val="24"/>
        </w:rPr>
        <w:t>r, as well as environmental land, ecology, and resource issues gave the campaign wide ranging support that extended beyond hardcore environmentalists and prison abolitionists. This means that the organizers were successful in conveying the common sense mes</w:t>
      </w:r>
      <w:r w:rsidRPr="00FA5329">
        <w:rPr>
          <w:rFonts w:ascii="Times New Roman" w:hAnsi="Times New Roman" w:cs="Times New Roman"/>
          <w:kern w:val="1"/>
          <w:sz w:val="24"/>
          <w:szCs w:val="24"/>
        </w:rPr>
        <w:t>sage that prison construction based on racist profit models was not a good way to build safer communities.</w:t>
      </w:r>
    </w:p>
    <w:p w14:paraId="1A4504E3"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Several months after filing the lawsuit against the CDC, members of the organization Critical Resistance, one of the plaintiffs in the lawsuit, helpe</w:t>
      </w:r>
      <w:r w:rsidRPr="00FA5329">
        <w:rPr>
          <w:rFonts w:ascii="Times New Roman" w:hAnsi="Times New Roman" w:cs="Times New Roman"/>
          <w:kern w:val="1"/>
          <w:sz w:val="24"/>
          <w:szCs w:val="24"/>
        </w:rPr>
        <w:t xml:space="preserve">d to organize a day-long conference in Fresno, about 90 miles north of Delano, to bring together prison abolitionists and environmental justice activists from across California. Held in February 2001, this conference, titled “Joining Forces: Environmental </w:t>
      </w:r>
      <w:r w:rsidRPr="00FA5329">
        <w:rPr>
          <w:rFonts w:ascii="Times New Roman" w:hAnsi="Times New Roman" w:cs="Times New Roman"/>
          <w:kern w:val="1"/>
          <w:sz w:val="24"/>
          <w:szCs w:val="24"/>
        </w:rPr>
        <w:t>Justice and the Fight Against Prison Expansion,” aimed to build political alliances and develop organizing strategies that took advantage of the conceptual linkages between existing anti-racist social justice struggles and environmental justice networks th</w:t>
      </w:r>
      <w:r w:rsidRPr="00FA5329">
        <w:rPr>
          <w:rFonts w:ascii="Times New Roman" w:hAnsi="Times New Roman" w:cs="Times New Roman"/>
          <w:kern w:val="1"/>
          <w:sz w:val="24"/>
          <w:szCs w:val="24"/>
        </w:rPr>
        <w:t>roughout California (</w:t>
      </w:r>
      <w:proofErr w:type="spellStart"/>
      <w:r w:rsidRPr="00FA5329">
        <w:rPr>
          <w:rFonts w:ascii="Times New Roman" w:hAnsi="Times New Roman" w:cs="Times New Roman"/>
          <w:kern w:val="1"/>
          <w:sz w:val="24"/>
          <w:szCs w:val="24"/>
        </w:rPr>
        <w:t>Braz</w:t>
      </w:r>
      <w:proofErr w:type="spellEnd"/>
      <w:r w:rsidRPr="00FA5329">
        <w:rPr>
          <w:rFonts w:ascii="Times New Roman" w:hAnsi="Times New Roman" w:cs="Times New Roman"/>
          <w:kern w:val="1"/>
          <w:sz w:val="24"/>
          <w:szCs w:val="24"/>
        </w:rPr>
        <w:t xml:space="preserve"> and Gilmore 2006).</w:t>
      </w:r>
      <w:r w:rsidRPr="00FA5329">
        <w:rPr>
          <w:rFonts w:ascii="Times New Roman" w:hAnsi="Times New Roman" w:cs="Times New Roman"/>
          <w:kern w:val="1"/>
          <w:sz w:val="24"/>
          <w:szCs w:val="24"/>
          <w:vertAlign w:val="superscript"/>
        </w:rPr>
        <w:footnoteReference w:id="33"/>
      </w:r>
      <w:r w:rsidRPr="00FA5329">
        <w:rPr>
          <w:rFonts w:ascii="Times New Roman" w:hAnsi="Times New Roman" w:cs="Times New Roman"/>
          <w:kern w:val="1"/>
          <w:sz w:val="24"/>
          <w:szCs w:val="24"/>
        </w:rPr>
        <w:t xml:space="preserve"> </w:t>
      </w:r>
      <w:proofErr w:type="spellStart"/>
      <w:r w:rsidRPr="00FA5329">
        <w:rPr>
          <w:rFonts w:ascii="Times New Roman" w:hAnsi="Times New Roman" w:cs="Times New Roman"/>
          <w:kern w:val="1"/>
          <w:sz w:val="24"/>
          <w:szCs w:val="24"/>
        </w:rPr>
        <w:t>Braz</w:t>
      </w:r>
      <w:proofErr w:type="spellEnd"/>
      <w:r w:rsidRPr="00FA5329">
        <w:rPr>
          <w:rFonts w:ascii="Times New Roman" w:hAnsi="Times New Roman" w:cs="Times New Roman"/>
          <w:kern w:val="1"/>
          <w:sz w:val="24"/>
          <w:szCs w:val="24"/>
        </w:rPr>
        <w:t xml:space="preserve"> and Gilmore (2006) describe the conference as “the first statewide gathering designed to explore the place of prisons in the environmental justice movement and the ways that </w:t>
      </w:r>
      <w:proofErr w:type="spellStart"/>
      <w:r w:rsidRPr="00FA5329">
        <w:rPr>
          <w:rFonts w:ascii="Times New Roman" w:hAnsi="Times New Roman" w:cs="Times New Roman"/>
          <w:kern w:val="1"/>
          <w:sz w:val="24"/>
          <w:szCs w:val="24"/>
        </w:rPr>
        <w:t>antiprison</w:t>
      </w:r>
      <w:proofErr w:type="spellEnd"/>
      <w:r w:rsidRPr="00FA5329">
        <w:rPr>
          <w:rFonts w:ascii="Times New Roman" w:hAnsi="Times New Roman" w:cs="Times New Roman"/>
          <w:kern w:val="1"/>
          <w:sz w:val="24"/>
          <w:szCs w:val="24"/>
        </w:rPr>
        <w:t xml:space="preserve"> activists can learn </w:t>
      </w:r>
      <w:r w:rsidRPr="00FA5329">
        <w:rPr>
          <w:rFonts w:ascii="Times New Roman" w:hAnsi="Times New Roman" w:cs="Times New Roman"/>
          <w:kern w:val="1"/>
          <w:sz w:val="24"/>
          <w:szCs w:val="24"/>
        </w:rPr>
        <w:t xml:space="preserve">from environmental justice examples.” In addition to Critical Resistance, sponsoring organizations included the California Prison Moratorium Project, the Southwest Network for Environmental </w:t>
      </w:r>
      <w:r w:rsidRPr="00FA5329">
        <w:rPr>
          <w:rFonts w:ascii="Times New Roman" w:hAnsi="Times New Roman" w:cs="Times New Roman"/>
          <w:kern w:val="1"/>
          <w:sz w:val="24"/>
          <w:szCs w:val="24"/>
        </w:rPr>
        <w:lastRenderedPageBreak/>
        <w:t>and Economic Justice, the Center on Race, Poverty and Environment,</w:t>
      </w:r>
      <w:r w:rsidRPr="00FA5329">
        <w:rPr>
          <w:rFonts w:ascii="Times New Roman" w:hAnsi="Times New Roman" w:cs="Times New Roman"/>
          <w:kern w:val="1"/>
          <w:sz w:val="24"/>
          <w:szCs w:val="24"/>
        </w:rPr>
        <w:t xml:space="preserve"> Fresno State University </w:t>
      </w:r>
      <w:proofErr w:type="spellStart"/>
      <w:r w:rsidRPr="00FA5329">
        <w:rPr>
          <w:rFonts w:ascii="Times New Roman" w:hAnsi="Times New Roman" w:cs="Times New Roman"/>
          <w:kern w:val="1"/>
          <w:sz w:val="24"/>
          <w:szCs w:val="24"/>
        </w:rPr>
        <w:t>MEChA</w:t>
      </w:r>
      <w:proofErr w:type="spellEnd"/>
      <w:r w:rsidRPr="00FA5329">
        <w:rPr>
          <w:rFonts w:ascii="Times New Roman" w:hAnsi="Times New Roman" w:cs="Times New Roman"/>
          <w:kern w:val="1"/>
          <w:sz w:val="24"/>
          <w:szCs w:val="24"/>
        </w:rPr>
        <w:t xml:space="preserve">, and the West County Toxics Coalition. </w:t>
      </w:r>
    </w:p>
    <w:p w14:paraId="64D92AD1"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[Possibly some additional details from the conference, summarizing from </w:t>
      </w:r>
      <w:proofErr w:type="spellStart"/>
      <w:r w:rsidRPr="00FA5329">
        <w:rPr>
          <w:rFonts w:ascii="Times New Roman" w:hAnsi="Times New Roman" w:cs="Times New Roman"/>
          <w:kern w:val="1"/>
          <w:sz w:val="24"/>
          <w:szCs w:val="24"/>
        </w:rPr>
        <w:t>Braz</w:t>
      </w:r>
      <w:proofErr w:type="spellEnd"/>
      <w:r w:rsidRPr="00FA5329">
        <w:rPr>
          <w:rFonts w:ascii="Times New Roman" w:hAnsi="Times New Roman" w:cs="Times New Roman"/>
          <w:kern w:val="1"/>
          <w:sz w:val="24"/>
          <w:szCs w:val="24"/>
        </w:rPr>
        <w:t xml:space="preserve"> and Gilmore (2006) and Gilmore (2008)]</w:t>
      </w:r>
    </w:p>
    <w:p w14:paraId="7A4C7029" w14:textId="77777777" w:rsidR="00AD15E8" w:rsidRPr="00FA5329" w:rsidRDefault="00E70BBA" w:rsidP="00FA5329">
      <w:pPr>
        <w:spacing w:line="480" w:lineRule="auto"/>
        <w:ind w:firstLine="720"/>
        <w:rPr>
          <w:rFonts w:ascii="Times New Roman" w:hAnsi="Times New Roman" w:cs="Times New Roman"/>
          <w:kern w:val="1"/>
          <w:sz w:val="24"/>
          <w:szCs w:val="24"/>
        </w:rPr>
      </w:pPr>
      <w:r w:rsidRPr="00FA5329">
        <w:rPr>
          <w:rFonts w:ascii="Times New Roman" w:hAnsi="Times New Roman" w:cs="Times New Roman"/>
          <w:kern w:val="1"/>
          <w:sz w:val="24"/>
          <w:szCs w:val="24"/>
        </w:rPr>
        <w:t>One of the outcomes from the conference was a network of supporters b</w:t>
      </w:r>
      <w:r w:rsidRPr="00FA5329">
        <w:rPr>
          <w:rFonts w:ascii="Times New Roman" w:hAnsi="Times New Roman" w:cs="Times New Roman"/>
          <w:kern w:val="1"/>
          <w:sz w:val="24"/>
          <w:szCs w:val="24"/>
        </w:rPr>
        <w:t>acking the lawsuit against CDC, and several organizations subsequently filed amici curiae briefs on behalf of the organizers.</w:t>
      </w:r>
    </w:p>
    <w:p w14:paraId="6177C5BC"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Down but not out, the campaign organizers switched their efforts from the legal strategy based around the prison’s environmental i</w:t>
      </w:r>
      <w:r w:rsidRPr="00FA5329">
        <w:rPr>
          <w:rFonts w:ascii="Times New Roman" w:hAnsi="Times New Roman" w:cs="Times New Roman"/>
          <w:kern w:val="1"/>
          <w:sz w:val="24"/>
          <w:szCs w:val="24"/>
        </w:rPr>
        <w:t xml:space="preserve">mpact to a legislative strategy aimed at stopping the prison from being funded. </w:t>
      </w:r>
      <w:r w:rsidRPr="00FA5329">
        <w:rPr>
          <w:rFonts w:ascii="Times New Roman" w:hAnsi="Times New Roman" w:cs="Times New Roman"/>
          <w:kern w:val="1"/>
          <w:sz w:val="24"/>
          <w:szCs w:val="24"/>
          <w:highlight w:val="yellow"/>
        </w:rPr>
        <w:t xml:space="preserve">[Add descriptive stuff about the campaign in </w:t>
      </w:r>
      <w:proofErr w:type="gramStart"/>
      <w:r w:rsidRPr="00FA5329">
        <w:rPr>
          <w:rFonts w:ascii="Times New Roman" w:hAnsi="Times New Roman" w:cs="Times New Roman"/>
          <w:kern w:val="1"/>
          <w:sz w:val="24"/>
          <w:szCs w:val="24"/>
          <w:highlight w:val="yellow"/>
        </w:rPr>
        <w:t>Sacramento]</w:t>
      </w:r>
      <w:r w:rsidRPr="00FA5329">
        <w:rPr>
          <w:rFonts w:ascii="Times New Roman" w:hAnsi="Times New Roman" w:cs="Times New Roman"/>
          <w:color w:val="4C4728"/>
          <w:kern w:val="1"/>
          <w:sz w:val="24"/>
          <w:szCs w:val="24"/>
          <w:highlight w:val="yellow"/>
        </w:rPr>
        <w:t>[</w:t>
      </w:r>
      <w:proofErr w:type="gramEnd"/>
      <w:r w:rsidRPr="00FA5329">
        <w:rPr>
          <w:rFonts w:ascii="Times New Roman" w:hAnsi="Times New Roman" w:cs="Times New Roman"/>
          <w:color w:val="4C4728"/>
          <w:kern w:val="1"/>
          <w:sz w:val="24"/>
          <w:szCs w:val="24"/>
        </w:rPr>
        <w:t xml:space="preserve"> Did this grow out of the lawsuit and EIS campaign, or was it always part of the plan?]</w:t>
      </w:r>
    </w:p>
    <w:p w14:paraId="4AE9AC6A"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Despite the hard fought battle in the courts and statehouse, construction of Delano II proceeded, and it began accepting inmates in June 2005 as Kern Valley State Prison. But this outcome is not the end of the story. Kern Valley State Prison was the last l</w:t>
      </w:r>
      <w:r w:rsidRPr="00FA5329">
        <w:rPr>
          <w:rFonts w:ascii="Times New Roman" w:hAnsi="Times New Roman" w:cs="Times New Roman"/>
          <w:kern w:val="1"/>
          <w:sz w:val="24"/>
          <w:szCs w:val="24"/>
        </w:rPr>
        <w:t>arge-scale state prison built as part of the California prison boom. It capped the largest prison expansion in U.S. history--a quarter century that witnessed the prison system grow from a dozen prisons and 23,000 inmates, to add 33 prisons and 140,000 addi</w:t>
      </w:r>
      <w:r w:rsidRPr="00FA5329">
        <w:rPr>
          <w:rFonts w:ascii="Times New Roman" w:hAnsi="Times New Roman" w:cs="Times New Roman"/>
          <w:kern w:val="1"/>
          <w:sz w:val="24"/>
          <w:szCs w:val="24"/>
        </w:rPr>
        <w:t>tional inmates at its peak in 2006. Although prison expansions and infill housing have continued to ameliorate the severe overcrowding and insufficient capacities for medical care, new construction ended. While this is not a direct result of the campaign a</w:t>
      </w:r>
      <w:r w:rsidRPr="00FA5329">
        <w:rPr>
          <w:rFonts w:ascii="Times New Roman" w:hAnsi="Times New Roman" w:cs="Times New Roman"/>
          <w:kern w:val="1"/>
          <w:sz w:val="24"/>
          <w:szCs w:val="24"/>
        </w:rPr>
        <w:t>gainst the Delano prison, the Delano II campaign helped raise broad awareness of the social and environmental justice implications of prison expansion, and thus served as an important component within statewide efforts to curtail prison expansion and incar</w:t>
      </w:r>
      <w:r w:rsidRPr="00FA5329">
        <w:rPr>
          <w:rFonts w:ascii="Times New Roman" w:hAnsi="Times New Roman" w:cs="Times New Roman"/>
          <w:kern w:val="1"/>
          <w:sz w:val="24"/>
          <w:szCs w:val="24"/>
        </w:rPr>
        <w:t xml:space="preserve">ceration rates. The </w:t>
      </w:r>
      <w:proofErr w:type="gramStart"/>
      <w:r w:rsidRPr="00FA5329">
        <w:rPr>
          <w:rFonts w:ascii="Times New Roman" w:hAnsi="Times New Roman" w:cs="Times New Roman"/>
          <w:kern w:val="1"/>
          <w:sz w:val="24"/>
          <w:szCs w:val="24"/>
        </w:rPr>
        <w:t>four year</w:t>
      </w:r>
      <w:proofErr w:type="gramEnd"/>
      <w:r w:rsidRPr="00FA5329">
        <w:rPr>
          <w:rFonts w:ascii="Times New Roman" w:hAnsi="Times New Roman" w:cs="Times New Roman"/>
          <w:kern w:val="1"/>
          <w:sz w:val="24"/>
          <w:szCs w:val="24"/>
        </w:rPr>
        <w:t xml:space="preserve"> delay caused by the Delano II campaign ensured that by the time inmates began </w:t>
      </w:r>
      <w:r w:rsidRPr="00FA5329">
        <w:rPr>
          <w:rFonts w:ascii="Times New Roman" w:hAnsi="Times New Roman" w:cs="Times New Roman"/>
          <w:kern w:val="1"/>
          <w:sz w:val="24"/>
          <w:szCs w:val="24"/>
        </w:rPr>
        <w:lastRenderedPageBreak/>
        <w:t xml:space="preserve">arriving at Kern Valley State Prison, it would be the last time until the corrections system underwent massive changes. </w:t>
      </w:r>
    </w:p>
    <w:p w14:paraId="018846AA"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Indeed, the end of the pris</w:t>
      </w:r>
      <w:r w:rsidRPr="00FA5329">
        <w:rPr>
          <w:rFonts w:ascii="Times New Roman" w:hAnsi="Times New Roman" w:cs="Times New Roman"/>
          <w:kern w:val="1"/>
          <w:sz w:val="24"/>
          <w:szCs w:val="24"/>
        </w:rPr>
        <w:t xml:space="preserve">on boom came about as a result of a combination of factors including massive campaigning by prisoners, their families, prison reform advocates, and prison abolitionists; chronic state budgetary crises coupled with increasing incarceration costs throughout </w:t>
      </w:r>
      <w:r w:rsidRPr="00FA5329">
        <w:rPr>
          <w:rFonts w:ascii="Times New Roman" w:hAnsi="Times New Roman" w:cs="Times New Roman"/>
          <w:kern w:val="1"/>
          <w:sz w:val="24"/>
          <w:szCs w:val="24"/>
        </w:rPr>
        <w:t xml:space="preserve">the 2000s; and a complex series of court actions around the case </w:t>
      </w:r>
      <w:r w:rsidRPr="00FA5329">
        <w:rPr>
          <w:rFonts w:ascii="Times New Roman" w:hAnsi="Times New Roman" w:cs="Times New Roman"/>
          <w:i/>
          <w:kern w:val="1"/>
          <w:sz w:val="24"/>
          <w:szCs w:val="24"/>
        </w:rPr>
        <w:t>Plata v. Brown</w:t>
      </w:r>
      <w:r w:rsidRPr="00FA5329">
        <w:rPr>
          <w:rFonts w:ascii="Times New Roman" w:hAnsi="Times New Roman" w:cs="Times New Roman"/>
          <w:kern w:val="1"/>
          <w:sz w:val="24"/>
          <w:szCs w:val="24"/>
        </w:rPr>
        <w:t xml:space="preserve"> that surfaced a court order in 2005 limiting the California prison population, legislation intended to reduce prison overcrowding, and ultimately, a Supreme Court ruling in 201</w:t>
      </w:r>
      <w:r w:rsidRPr="00FA5329">
        <w:rPr>
          <w:rFonts w:ascii="Times New Roman" w:hAnsi="Times New Roman" w:cs="Times New Roman"/>
          <w:kern w:val="1"/>
          <w:sz w:val="24"/>
          <w:szCs w:val="24"/>
        </w:rPr>
        <w:t xml:space="preserve">0 upholding the state court’s mandates. </w:t>
      </w:r>
      <w:r w:rsidRPr="00FA5329">
        <w:rPr>
          <w:rFonts w:ascii="Times New Roman" w:hAnsi="Times New Roman" w:cs="Times New Roman"/>
          <w:kern w:val="1"/>
          <w:sz w:val="24"/>
          <w:szCs w:val="24"/>
          <w:highlight w:val="yellow"/>
        </w:rPr>
        <w:t>[Maybe some other stuff about realignment and the case for abolition, but need to bring it back to EIA and the environment. Segue to the ecology of prisons…]</w:t>
      </w:r>
    </w:p>
    <w:p w14:paraId="640B874D"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The two main ways that people and organizations have used </w:t>
      </w:r>
      <w:r w:rsidRPr="00FA5329">
        <w:rPr>
          <w:rFonts w:ascii="Times New Roman" w:hAnsi="Times New Roman" w:cs="Times New Roman"/>
          <w:kern w:val="1"/>
          <w:sz w:val="24"/>
          <w:szCs w:val="24"/>
        </w:rPr>
        <w:t>NEPA and the EIA process to intervene in proposed projects and programs are through its public feedback mechanisms and through the use of judicial review. The EIA process is often represented using a flow chart to highlight the various steps, decisions, st</w:t>
      </w:r>
      <w:r w:rsidRPr="00FA5329">
        <w:rPr>
          <w:rFonts w:ascii="Times New Roman" w:hAnsi="Times New Roman" w:cs="Times New Roman"/>
          <w:kern w:val="1"/>
          <w:sz w:val="24"/>
          <w:szCs w:val="24"/>
        </w:rPr>
        <w:t>akeholders, and timelines involved in fulfilling NEPA (or equivalent state-level legislation) requirements (</w:t>
      </w:r>
      <w:r w:rsidRPr="00FA5329">
        <w:rPr>
          <w:rFonts w:ascii="Times New Roman" w:hAnsi="Times New Roman" w:cs="Times New Roman"/>
          <w:kern w:val="1"/>
          <w:sz w:val="24"/>
          <w:szCs w:val="24"/>
          <w:highlight w:val="yellow"/>
        </w:rPr>
        <w:t>see figure X</w:t>
      </w:r>
      <w:r w:rsidRPr="00FA5329">
        <w:rPr>
          <w:rFonts w:ascii="Times New Roman" w:hAnsi="Times New Roman" w:cs="Times New Roman"/>
          <w:kern w:val="1"/>
          <w:sz w:val="24"/>
          <w:szCs w:val="24"/>
        </w:rPr>
        <w:t>). Each decision node within the flowchart presents an opportunity for both public feedback and judicial review. The legal basis for thi</w:t>
      </w:r>
      <w:r w:rsidRPr="00FA5329">
        <w:rPr>
          <w:rFonts w:ascii="Times New Roman" w:hAnsi="Times New Roman" w:cs="Times New Roman"/>
          <w:kern w:val="1"/>
          <w:sz w:val="24"/>
          <w:szCs w:val="24"/>
        </w:rPr>
        <w:t>s intervention lies in the U.S. Administrative Procedures Act of 1946 (APA), which provides judicially reviewable guidelines for public transparency throughout the decision making process. This means that the lead agency is responsible for researching, doc</w:t>
      </w:r>
      <w:r w:rsidRPr="00FA5329">
        <w:rPr>
          <w:rFonts w:ascii="Times New Roman" w:hAnsi="Times New Roman" w:cs="Times New Roman"/>
          <w:kern w:val="1"/>
          <w:sz w:val="24"/>
          <w:szCs w:val="24"/>
        </w:rPr>
        <w:t>umenting, and publicly reporting the decision making process. Individual citizens and organizations can challenge adherence to NEPA requirements through the APA if they believe the lead agency failed in its responsibilities, or made decisions that appear “</w:t>
      </w:r>
      <w:r w:rsidRPr="00FA5329">
        <w:rPr>
          <w:rFonts w:ascii="Times New Roman" w:hAnsi="Times New Roman" w:cs="Times New Roman"/>
          <w:kern w:val="1"/>
          <w:sz w:val="24"/>
          <w:szCs w:val="24"/>
        </w:rPr>
        <w:t>arbitrary or capricious” (citation).</w:t>
      </w:r>
    </w:p>
    <w:p w14:paraId="295280DF" w14:textId="77777777" w:rsidR="00AD15E8" w:rsidRPr="00FA5329" w:rsidRDefault="00AD15E8"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
    <w:p w14:paraId="5D26BF88" w14:textId="77777777" w:rsidR="00AD15E8" w:rsidRPr="00FA5329" w:rsidRDefault="00AD15E8"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
    <w:p w14:paraId="328E9A0D"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An important lessons of the Friends case is that a social justice strategy utilizing NEPA or its equivalents needs to engage the entire EIA process according to the guidelines and limitations established by the state </w:t>
      </w:r>
      <w:r w:rsidRPr="00FA5329">
        <w:rPr>
          <w:rFonts w:ascii="Times New Roman" w:hAnsi="Times New Roman" w:cs="Times New Roman"/>
          <w:kern w:val="1"/>
          <w:sz w:val="24"/>
          <w:szCs w:val="24"/>
        </w:rPr>
        <w:t xml:space="preserve">through administrative policies, quasi-formal guidance documents, and legal precedent. While the EIA process institutionalizes modes of participatory and legal dissent to state actions, it also requires negotiating the complex bureaucracy and attending to </w:t>
      </w:r>
      <w:r w:rsidRPr="00FA5329">
        <w:rPr>
          <w:rFonts w:ascii="Times New Roman" w:hAnsi="Times New Roman" w:cs="Times New Roman"/>
          <w:kern w:val="1"/>
          <w:sz w:val="24"/>
          <w:szCs w:val="24"/>
        </w:rPr>
        <w:t xml:space="preserve">minute legal details that the state carries in tow. </w:t>
      </w:r>
    </w:p>
    <w:p w14:paraId="23B8AFCE" w14:textId="77777777" w:rsidR="00AD15E8" w:rsidRPr="00FA5329" w:rsidRDefault="00AD15E8"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
    <w:p w14:paraId="7F3D2575"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The </w:t>
      </w:r>
      <w:proofErr w:type="spellStart"/>
      <w:r w:rsidRPr="00FA5329">
        <w:rPr>
          <w:rFonts w:ascii="Times New Roman" w:hAnsi="Times New Roman" w:cs="Times New Roman"/>
          <w:kern w:val="1"/>
          <w:sz w:val="24"/>
          <w:szCs w:val="24"/>
        </w:rPr>
        <w:t>longview</w:t>
      </w:r>
      <w:proofErr w:type="spellEnd"/>
      <w:r w:rsidRPr="00FA5329">
        <w:rPr>
          <w:rFonts w:ascii="Times New Roman" w:hAnsi="Times New Roman" w:cs="Times New Roman"/>
          <w:kern w:val="1"/>
          <w:sz w:val="24"/>
          <w:szCs w:val="24"/>
        </w:rPr>
        <w:t xml:space="preserve"> perspective of the Delano II campaign reveals that it was highly successful, even if the Kern Valley State Prison eventually came to fruition. The campaign delayed the doors from opening by</w:t>
      </w:r>
      <w:r w:rsidRPr="00FA5329">
        <w:rPr>
          <w:rFonts w:ascii="Times New Roman" w:hAnsi="Times New Roman" w:cs="Times New Roman"/>
          <w:kern w:val="1"/>
          <w:sz w:val="24"/>
          <w:szCs w:val="24"/>
        </w:rPr>
        <w:t xml:space="preserve"> five years. The strategies employed by CDC? The movement and coalitions that developed. The relationships developed between prison abolition organizers and state and regional government officials?</w:t>
      </w:r>
    </w:p>
    <w:p w14:paraId="67D2FF79"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As part of the public disclosure process, and to minimize </w:t>
      </w:r>
      <w:r w:rsidRPr="00FA5329">
        <w:rPr>
          <w:rFonts w:ascii="Times New Roman" w:hAnsi="Times New Roman" w:cs="Times New Roman"/>
          <w:kern w:val="1"/>
          <w:sz w:val="24"/>
          <w:szCs w:val="24"/>
        </w:rPr>
        <w:t>the likelihood of a lawsuit, the lead agency is required to elicit public feedback at each of the steps in the aforementioned EIA process flow chart. Over the course of the entire EIA process, the lead agency will arrange a series of public meetings--infor</w:t>
      </w:r>
      <w:r w:rsidRPr="00FA5329">
        <w:rPr>
          <w:rFonts w:ascii="Times New Roman" w:hAnsi="Times New Roman" w:cs="Times New Roman"/>
          <w:kern w:val="1"/>
          <w:sz w:val="24"/>
          <w:szCs w:val="24"/>
        </w:rPr>
        <w:t>mational, scoping, and feedback--where information, concerns, and dissent about the proposed action. These meetings are paired with the opportunity to submit written comments, with all verbal and written comments becoming part of the permanent, published E</w:t>
      </w:r>
      <w:r w:rsidRPr="00FA5329">
        <w:rPr>
          <w:rFonts w:ascii="Times New Roman" w:hAnsi="Times New Roman" w:cs="Times New Roman"/>
          <w:kern w:val="1"/>
          <w:sz w:val="24"/>
          <w:szCs w:val="24"/>
        </w:rPr>
        <w:t>IA record. Comments and feedback can range from simple letters of support, to requests for consideration of additional factors or data, to lengthy point-by-point critiques of the lead agency’s work. The lead agency is legally obligated (</w:t>
      </w:r>
      <w:r w:rsidRPr="00FA5329">
        <w:rPr>
          <w:rFonts w:ascii="Times New Roman" w:hAnsi="Times New Roman" w:cs="Times New Roman"/>
          <w:kern w:val="1"/>
          <w:sz w:val="24"/>
          <w:szCs w:val="24"/>
          <w:highlight w:val="yellow"/>
        </w:rPr>
        <w:t>citation or footnot</w:t>
      </w:r>
      <w:r w:rsidRPr="00FA5329">
        <w:rPr>
          <w:rFonts w:ascii="Times New Roman" w:hAnsi="Times New Roman" w:cs="Times New Roman"/>
          <w:kern w:val="1"/>
          <w:sz w:val="24"/>
          <w:szCs w:val="24"/>
          <w:highlight w:val="yellow"/>
        </w:rPr>
        <w:t>e explanation</w:t>
      </w:r>
      <w:r w:rsidRPr="00FA5329">
        <w:rPr>
          <w:rFonts w:ascii="Times New Roman" w:hAnsi="Times New Roman" w:cs="Times New Roman"/>
          <w:kern w:val="1"/>
          <w:sz w:val="24"/>
          <w:szCs w:val="24"/>
        </w:rPr>
        <w:t xml:space="preserve">) to respond to every written comment or oral testimony received during public feedback periods. </w:t>
      </w:r>
      <w:r w:rsidRPr="00FA5329">
        <w:rPr>
          <w:rFonts w:ascii="Times New Roman" w:hAnsi="Times New Roman" w:cs="Times New Roman"/>
          <w:kern w:val="1"/>
          <w:sz w:val="24"/>
          <w:szCs w:val="24"/>
        </w:rPr>
        <w:lastRenderedPageBreak/>
        <w:t>Responding to the comments does not mean an obligation to remediate or resolve the issue raised, only to provide acknowledgement and where appropr</w:t>
      </w:r>
      <w:r w:rsidRPr="00FA5329">
        <w:rPr>
          <w:rFonts w:ascii="Times New Roman" w:hAnsi="Times New Roman" w:cs="Times New Roman"/>
          <w:kern w:val="1"/>
          <w:sz w:val="24"/>
          <w:szCs w:val="24"/>
        </w:rPr>
        <w:t xml:space="preserve">iate, document the ways in which the decision making process gives consideration to the comments. It is often the case, however, that in their response to comments, the lead agency will substantively modify or amend their environmental analyses or project </w:t>
      </w:r>
      <w:r w:rsidRPr="00FA5329">
        <w:rPr>
          <w:rFonts w:ascii="Times New Roman" w:hAnsi="Times New Roman" w:cs="Times New Roman"/>
          <w:kern w:val="1"/>
          <w:sz w:val="24"/>
          <w:szCs w:val="24"/>
        </w:rPr>
        <w:t>proposal with additional data or mitigation plans in order to adequately address the submitted comments and avoid litigation. Thus, the public feedback mechanisms of the EIA process can sometimes shape both the decision making process, and ultimately, envi</w:t>
      </w:r>
      <w:r w:rsidRPr="00FA5329">
        <w:rPr>
          <w:rFonts w:ascii="Times New Roman" w:hAnsi="Times New Roman" w:cs="Times New Roman"/>
          <w:kern w:val="1"/>
          <w:sz w:val="24"/>
          <w:szCs w:val="24"/>
        </w:rPr>
        <w:t>ronmental outcomes.</w:t>
      </w:r>
    </w:p>
    <w:p w14:paraId="249FBC78"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[Provide one or two examples of intervention through comments </w:t>
      </w:r>
      <w:proofErr w:type="spellStart"/>
      <w:r w:rsidRPr="00FA5329">
        <w:rPr>
          <w:rFonts w:ascii="Times New Roman" w:hAnsi="Times New Roman" w:cs="Times New Roman"/>
          <w:kern w:val="1"/>
          <w:sz w:val="24"/>
          <w:szCs w:val="24"/>
        </w:rPr>
        <w:t>etc</w:t>
      </w:r>
      <w:proofErr w:type="spellEnd"/>
      <w:r w:rsidRPr="00FA5329">
        <w:rPr>
          <w:rFonts w:ascii="Times New Roman" w:hAnsi="Times New Roman" w:cs="Times New Roman"/>
          <w:kern w:val="1"/>
          <w:sz w:val="24"/>
          <w:szCs w:val="24"/>
        </w:rPr>
        <w:t xml:space="preserve"> shaping the outcomes]</w:t>
      </w:r>
    </w:p>
    <w:p w14:paraId="1F0E1692"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Although the public feedback mechanisms within the EIA process can sometimes help reshape proposed projects or programs, they are less effective as a means for redirecting or reshaping the underlying policy-based functional objectives of the proposed actio</w:t>
      </w:r>
      <w:r w:rsidRPr="00FA5329">
        <w:rPr>
          <w:rFonts w:ascii="Times New Roman" w:hAnsi="Times New Roman" w:cs="Times New Roman"/>
          <w:kern w:val="1"/>
          <w:sz w:val="24"/>
          <w:szCs w:val="24"/>
        </w:rPr>
        <w:t xml:space="preserve">ns. Put another way, public feedback might encourage the lead agency to take measures to minimize the air, water, soil, and energy impacts of a new prison construction, but it is unlikely that public feedback in the EIA process, will, </w:t>
      </w:r>
      <w:r w:rsidRPr="00FA5329">
        <w:rPr>
          <w:rFonts w:ascii="Times New Roman" w:hAnsi="Times New Roman" w:cs="Times New Roman"/>
          <w:i/>
          <w:kern w:val="1"/>
          <w:sz w:val="24"/>
          <w:szCs w:val="24"/>
        </w:rPr>
        <w:t>per se</w:t>
      </w:r>
      <w:r w:rsidRPr="00FA5329">
        <w:rPr>
          <w:rFonts w:ascii="Times New Roman" w:hAnsi="Times New Roman" w:cs="Times New Roman"/>
          <w:kern w:val="1"/>
          <w:sz w:val="24"/>
          <w:szCs w:val="24"/>
        </w:rPr>
        <w:t>, have any impa</w:t>
      </w:r>
      <w:r w:rsidRPr="00FA5329">
        <w:rPr>
          <w:rFonts w:ascii="Times New Roman" w:hAnsi="Times New Roman" w:cs="Times New Roman"/>
          <w:kern w:val="1"/>
          <w:sz w:val="24"/>
          <w:szCs w:val="24"/>
        </w:rPr>
        <w:t xml:space="preserve">ct on whether or not the net number of prison beds is going to increase throughout the state. Written and oral comments submitted to the lead agency are typically treated in a </w:t>
      </w:r>
      <w:r w:rsidRPr="00FA5329">
        <w:rPr>
          <w:rFonts w:ascii="Times New Roman" w:hAnsi="Times New Roman" w:cs="Times New Roman"/>
          <w:i/>
          <w:kern w:val="1"/>
          <w:sz w:val="24"/>
          <w:szCs w:val="24"/>
        </w:rPr>
        <w:t>pro forma</w:t>
      </w:r>
      <w:r w:rsidRPr="00FA5329">
        <w:rPr>
          <w:rFonts w:ascii="Times New Roman" w:hAnsi="Times New Roman" w:cs="Times New Roman"/>
          <w:kern w:val="1"/>
          <w:sz w:val="24"/>
          <w:szCs w:val="24"/>
        </w:rPr>
        <w:t xml:space="preserve"> fashion such that the lead agency respectfully notes the comment in th</w:t>
      </w:r>
      <w:r w:rsidRPr="00FA5329">
        <w:rPr>
          <w:rFonts w:ascii="Times New Roman" w:hAnsi="Times New Roman" w:cs="Times New Roman"/>
          <w:kern w:val="1"/>
          <w:sz w:val="24"/>
          <w:szCs w:val="24"/>
        </w:rPr>
        <w:t>e record, but is unlikely to alter their ultimate decision as a result of it. Although final decisions about funding and implementing a proposed action are made after an affirmative outcome from the EIA process, the proposal is likely to have sufficient po</w:t>
      </w:r>
      <w:r w:rsidRPr="00FA5329">
        <w:rPr>
          <w:rFonts w:ascii="Times New Roman" w:hAnsi="Times New Roman" w:cs="Times New Roman"/>
          <w:kern w:val="1"/>
          <w:sz w:val="24"/>
          <w:szCs w:val="24"/>
        </w:rPr>
        <w:t>litical will behind it to see it through long before the EIA process formally commences.</w:t>
      </w:r>
    </w:p>
    <w:p w14:paraId="7A84A3BF"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Litigation</w:t>
      </w:r>
    </w:p>
    <w:p w14:paraId="4D8AC5E1"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lastRenderedPageBreak/>
        <w:t>The APA provides a legal basis for challenging the lead agency’s actions through judicial review of the documentation, process, and decision making procedur</w:t>
      </w:r>
      <w:r w:rsidRPr="00FA5329">
        <w:rPr>
          <w:rFonts w:ascii="Times New Roman" w:hAnsi="Times New Roman" w:cs="Times New Roman"/>
          <w:kern w:val="1"/>
          <w:sz w:val="24"/>
          <w:szCs w:val="24"/>
        </w:rPr>
        <w:t>es followed by the lead agency. Such lawsuits typically occur either after the lead agency approves an environmental assessment (EA) that declares the proposed project will have little or no adverse environmental impacts (Finding of No Significant Impact [</w:t>
      </w:r>
      <w:r w:rsidRPr="00FA5329">
        <w:rPr>
          <w:rFonts w:ascii="Times New Roman" w:hAnsi="Times New Roman" w:cs="Times New Roman"/>
          <w:kern w:val="1"/>
          <w:sz w:val="24"/>
          <w:szCs w:val="24"/>
        </w:rPr>
        <w:t xml:space="preserve">FONSI]), or after the issuance of one of the EIS reports, from the notice of intent and scoping documents, through draft EISs, and up to the final revisions and the record of decision. </w:t>
      </w:r>
    </w:p>
    <w:p w14:paraId="5FD62D5E" w14:textId="77777777" w:rsidR="00AD15E8" w:rsidRPr="00FA5329" w:rsidRDefault="00AD15E8"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
    <w:p w14:paraId="369746D1"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The Record of Decision (ROD)</w:t>
      </w:r>
      <w:r w:rsidRPr="00FA5329">
        <w:rPr>
          <w:rFonts w:ascii="Times New Roman" w:hAnsi="Times New Roman" w:cs="Times New Roman"/>
          <w:kern w:val="1"/>
          <w:sz w:val="24"/>
          <w:szCs w:val="24"/>
          <w:vertAlign w:val="superscript"/>
        </w:rPr>
        <w:footnoteReference w:id="34"/>
      </w:r>
      <w:r w:rsidRPr="00FA5329">
        <w:rPr>
          <w:rFonts w:ascii="Times New Roman" w:hAnsi="Times New Roman" w:cs="Times New Roman"/>
          <w:kern w:val="1"/>
          <w:sz w:val="24"/>
          <w:szCs w:val="24"/>
        </w:rPr>
        <w:t xml:space="preserve"> describes the specific components of th</w:t>
      </w:r>
      <w:r w:rsidRPr="00FA5329">
        <w:rPr>
          <w:rFonts w:ascii="Times New Roman" w:hAnsi="Times New Roman" w:cs="Times New Roman"/>
          <w:kern w:val="1"/>
          <w:sz w:val="24"/>
          <w:szCs w:val="24"/>
        </w:rPr>
        <w:t xml:space="preserve">e proposed action that are permitted, the rationale for these decisions, and any mitigation measures or ongoing monitoring activities upon which the decision depends. </w:t>
      </w:r>
    </w:p>
    <w:p w14:paraId="64848755" w14:textId="77777777" w:rsidR="00AD15E8" w:rsidRPr="00FA5329" w:rsidRDefault="00AD15E8"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
    <w:p w14:paraId="4B48A5B0"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If, after filing comments through the EIA process, individuals or organizations believe</w:t>
      </w:r>
      <w:r w:rsidRPr="00FA5329">
        <w:rPr>
          <w:rFonts w:ascii="Times New Roman" w:hAnsi="Times New Roman" w:cs="Times New Roman"/>
          <w:kern w:val="1"/>
          <w:sz w:val="24"/>
          <w:szCs w:val="24"/>
        </w:rPr>
        <w:t xml:space="preserve"> their concerns have not been adequately addressed in subsequent steps along the EIA process, or if they feel that the plan of action would in some way cause them direct injury, those individuals or organizations have the right to file a lawsuit against th</w:t>
      </w:r>
      <w:r w:rsidRPr="00FA5329">
        <w:rPr>
          <w:rFonts w:ascii="Times New Roman" w:hAnsi="Times New Roman" w:cs="Times New Roman"/>
          <w:kern w:val="1"/>
          <w:sz w:val="24"/>
          <w:szCs w:val="24"/>
        </w:rPr>
        <w:t xml:space="preserve">e lead agency in a court of law. </w:t>
      </w:r>
    </w:p>
    <w:p w14:paraId="3D093AA9"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There are three primary considerations in the judicial review process within NEPA, and state action more generally: standing, reviewability, and court relief. </w:t>
      </w:r>
      <w:proofErr w:type="spellStart"/>
      <w:r w:rsidR="00FA5329" w:rsidRPr="00FA5329">
        <w:rPr>
          <w:rFonts w:ascii="Times New Roman" w:hAnsi="Times New Roman" w:cs="Times New Roman"/>
          <w:kern w:val="1"/>
          <w:sz w:val="24"/>
          <w:szCs w:val="24"/>
        </w:rPr>
        <w:t>Czarnezki</w:t>
      </w:r>
      <w:proofErr w:type="spellEnd"/>
      <w:r w:rsidR="00FA5329" w:rsidRPr="00FA5329">
        <w:rPr>
          <w:rFonts w:ascii="Times New Roman" w:hAnsi="Times New Roman" w:cs="Times New Roman"/>
          <w:kern w:val="1"/>
          <w:sz w:val="24"/>
          <w:szCs w:val="24"/>
        </w:rPr>
        <w:t xml:space="preserve"> 2006</w:t>
      </w:r>
      <w:bookmarkStart w:id="0" w:name="_GoBack"/>
      <w:bookmarkEnd w:id="0"/>
    </w:p>
    <w:p w14:paraId="261C4A8D"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By looking at prison construction as an entry </w:t>
      </w:r>
      <w:r w:rsidRPr="00FA5329">
        <w:rPr>
          <w:rFonts w:ascii="Times New Roman" w:hAnsi="Times New Roman" w:cs="Times New Roman"/>
          <w:kern w:val="1"/>
          <w:sz w:val="24"/>
          <w:szCs w:val="24"/>
        </w:rPr>
        <w:t xml:space="preserve">point into examining the EIA process as a venue for potentially radical organizing efforts, we can see how the environmental state is inextricably bound to the racial state. </w:t>
      </w:r>
    </w:p>
    <w:p w14:paraId="2664BEF1"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lastRenderedPageBreak/>
        <w:t>What are the features of the racial state such that prisons become a catch-all so</w:t>
      </w:r>
      <w:r w:rsidRPr="00FA5329">
        <w:rPr>
          <w:rFonts w:ascii="Times New Roman" w:hAnsi="Times New Roman" w:cs="Times New Roman"/>
          <w:kern w:val="1"/>
          <w:sz w:val="24"/>
          <w:szCs w:val="24"/>
        </w:rPr>
        <w:t xml:space="preserve">lution to a range of social, political, and economic crises? </w:t>
      </w:r>
    </w:p>
    <w:p w14:paraId="01FDF47A"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The construction of prisons (and expansion of the means and mechanisms of criminalization) is a racialized and gendered mechanism for managing populations rendered as surplus to the nation/state</w:t>
      </w:r>
      <w:r w:rsidRPr="00FA5329">
        <w:rPr>
          <w:rFonts w:ascii="Times New Roman" w:hAnsi="Times New Roman" w:cs="Times New Roman"/>
          <w:kern w:val="1"/>
          <w:sz w:val="24"/>
          <w:szCs w:val="24"/>
        </w:rPr>
        <w:t xml:space="preserve"> and economy. Organizing communities in opposition to prison construction around this understanding is inherently an anti-racist project. </w:t>
      </w:r>
    </w:p>
    <w:p w14:paraId="0698A665"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Think about the way that the state provides a platform for civic engagement.</w:t>
      </w:r>
    </w:p>
    <w:p w14:paraId="29341B68"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proofErr w:type="spellStart"/>
      <w:r w:rsidRPr="00FA5329">
        <w:rPr>
          <w:rFonts w:ascii="Times New Roman" w:hAnsi="Times New Roman" w:cs="Times New Roman"/>
          <w:kern w:val="1"/>
          <w:sz w:val="24"/>
          <w:szCs w:val="24"/>
        </w:rPr>
        <w:t>Poulantzas</w:t>
      </w:r>
      <w:proofErr w:type="spellEnd"/>
      <w:r w:rsidRPr="00FA5329">
        <w:rPr>
          <w:rFonts w:ascii="Times New Roman" w:hAnsi="Times New Roman" w:cs="Times New Roman"/>
          <w:kern w:val="1"/>
          <w:sz w:val="24"/>
          <w:szCs w:val="24"/>
        </w:rPr>
        <w:t xml:space="preserve"> (2014, pg91):</w:t>
      </w:r>
    </w:p>
    <w:p w14:paraId="4F0C1D6B"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 xml:space="preserve">“It is precisely through a system of general, abstract and formal rules that law </w:t>
      </w:r>
      <w:r w:rsidRPr="00FA5329">
        <w:rPr>
          <w:rFonts w:ascii="Times New Roman" w:hAnsi="Times New Roman" w:cs="Times New Roman"/>
          <w:i/>
          <w:kern w:val="1"/>
          <w:sz w:val="24"/>
          <w:szCs w:val="24"/>
        </w:rPr>
        <w:t>regulates</w:t>
      </w:r>
      <w:r w:rsidRPr="00FA5329">
        <w:rPr>
          <w:rFonts w:ascii="Times New Roman" w:hAnsi="Times New Roman" w:cs="Times New Roman"/>
          <w:kern w:val="1"/>
          <w:sz w:val="24"/>
          <w:szCs w:val="24"/>
        </w:rPr>
        <w:t xml:space="preserve"> the exercise of power by the state apparatuses, as well as access to these apparatuses themselves. Within a specific form of domination, this legal system controls t</w:t>
      </w:r>
      <w:r w:rsidRPr="00FA5329">
        <w:rPr>
          <w:rFonts w:ascii="Times New Roman" w:hAnsi="Times New Roman" w:cs="Times New Roman"/>
          <w:kern w:val="1"/>
          <w:sz w:val="24"/>
          <w:szCs w:val="24"/>
        </w:rPr>
        <w:t>he process whereby power is apportioned to the various classes and, above all, the distinct fractions of the bourgeoisie that make up a power-bloc. By thus giving order to their mutual relations within the State, it allows a changed balance of forces in th</w:t>
      </w:r>
      <w:r w:rsidRPr="00FA5329">
        <w:rPr>
          <w:rFonts w:ascii="Times New Roman" w:hAnsi="Times New Roman" w:cs="Times New Roman"/>
          <w:kern w:val="1"/>
          <w:sz w:val="24"/>
          <w:szCs w:val="24"/>
        </w:rPr>
        <w:t xml:space="preserve">e ruling alliance to find expression at state level without provoking upheavals. Capitalist law, as it were, </w:t>
      </w:r>
      <w:r w:rsidRPr="00FA5329">
        <w:rPr>
          <w:rFonts w:ascii="Times New Roman" w:hAnsi="Times New Roman" w:cs="Times New Roman"/>
          <w:i/>
          <w:kern w:val="1"/>
          <w:sz w:val="24"/>
          <w:szCs w:val="24"/>
        </w:rPr>
        <w:t>damps down</w:t>
      </w:r>
      <w:r w:rsidRPr="00FA5329">
        <w:rPr>
          <w:rFonts w:ascii="Times New Roman" w:hAnsi="Times New Roman" w:cs="Times New Roman"/>
          <w:kern w:val="1"/>
          <w:sz w:val="24"/>
          <w:szCs w:val="24"/>
        </w:rPr>
        <w:t xml:space="preserve"> and </w:t>
      </w:r>
      <w:r w:rsidRPr="00FA5329">
        <w:rPr>
          <w:rFonts w:ascii="Times New Roman" w:hAnsi="Times New Roman" w:cs="Times New Roman"/>
          <w:i/>
          <w:kern w:val="1"/>
          <w:sz w:val="24"/>
          <w:szCs w:val="24"/>
        </w:rPr>
        <w:t>channels</w:t>
      </w:r>
      <w:r w:rsidRPr="00FA5329">
        <w:rPr>
          <w:rFonts w:ascii="Times New Roman" w:hAnsi="Times New Roman" w:cs="Times New Roman"/>
          <w:kern w:val="1"/>
          <w:sz w:val="24"/>
          <w:szCs w:val="24"/>
        </w:rPr>
        <w:t xml:space="preserve"> political crises, in such a way that they do not lead to crises of the State itself. More generally, capitalist law appears</w:t>
      </w:r>
      <w:r w:rsidRPr="00FA5329">
        <w:rPr>
          <w:rFonts w:ascii="Times New Roman" w:hAnsi="Times New Roman" w:cs="Times New Roman"/>
          <w:kern w:val="1"/>
          <w:sz w:val="24"/>
          <w:szCs w:val="24"/>
        </w:rPr>
        <w:t xml:space="preserve"> as the necessary form of a State that has to maintain relative autonomy of the fractions of a power-bloc in order to organize their unity under the hegemony of a given class or fraction. This compulsion is further bound up with the State’s relative separa</w:t>
      </w:r>
      <w:r w:rsidRPr="00FA5329">
        <w:rPr>
          <w:rFonts w:ascii="Times New Roman" w:hAnsi="Times New Roman" w:cs="Times New Roman"/>
          <w:kern w:val="1"/>
          <w:sz w:val="24"/>
          <w:szCs w:val="24"/>
        </w:rPr>
        <w:t xml:space="preserve">tion from the relations of production - that is to say, with the fact that agents of the </w:t>
      </w:r>
      <w:proofErr w:type="spellStart"/>
      <w:r w:rsidRPr="00FA5329">
        <w:rPr>
          <w:rFonts w:ascii="Times New Roman" w:hAnsi="Times New Roman" w:cs="Times New Roman"/>
          <w:kern w:val="1"/>
          <w:sz w:val="24"/>
          <w:szCs w:val="24"/>
        </w:rPr>
        <w:t>economicaly</w:t>
      </w:r>
      <w:proofErr w:type="spellEnd"/>
      <w:r w:rsidRPr="00FA5329">
        <w:rPr>
          <w:rFonts w:ascii="Times New Roman" w:hAnsi="Times New Roman" w:cs="Times New Roman"/>
          <w:kern w:val="1"/>
          <w:sz w:val="24"/>
          <w:szCs w:val="24"/>
        </w:rPr>
        <w:t xml:space="preserve"> dominant class (the bourgeoisie) do not directly coincide with the occupiers and agents of the State.”</w:t>
      </w:r>
    </w:p>
    <w:p w14:paraId="1ED168C1" w14:textId="77777777" w:rsidR="00AD15E8" w:rsidRPr="00FA5329" w:rsidRDefault="00E70BBA" w:rsidP="00FA5329">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sz w:val="24"/>
          <w:szCs w:val="24"/>
        </w:rPr>
      </w:pPr>
      <w:r w:rsidRPr="00FA5329">
        <w:rPr>
          <w:rFonts w:ascii="Times New Roman" w:hAnsi="Times New Roman" w:cs="Times New Roman"/>
          <w:kern w:val="1"/>
          <w:sz w:val="24"/>
          <w:szCs w:val="24"/>
        </w:rPr>
        <w:t>NEPA operates through the interconnected elements of</w:t>
      </w:r>
      <w:r w:rsidRPr="00FA5329">
        <w:rPr>
          <w:rFonts w:ascii="Times New Roman" w:hAnsi="Times New Roman" w:cs="Times New Roman"/>
          <w:kern w:val="1"/>
          <w:sz w:val="24"/>
          <w:szCs w:val="24"/>
        </w:rPr>
        <w:t xml:space="preserve"> administrative </w:t>
      </w:r>
      <w:proofErr w:type="spellStart"/>
      <w:r w:rsidRPr="00FA5329">
        <w:rPr>
          <w:rFonts w:ascii="Times New Roman" w:hAnsi="Times New Roman" w:cs="Times New Roman"/>
          <w:kern w:val="1"/>
          <w:sz w:val="24"/>
          <w:szCs w:val="24"/>
        </w:rPr>
        <w:t>proceduralism</w:t>
      </w:r>
      <w:proofErr w:type="spellEnd"/>
      <w:r w:rsidRPr="00FA5329">
        <w:rPr>
          <w:rFonts w:ascii="Times New Roman" w:hAnsi="Times New Roman" w:cs="Times New Roman"/>
          <w:kern w:val="1"/>
          <w:sz w:val="24"/>
          <w:szCs w:val="24"/>
        </w:rPr>
        <w:t xml:space="preserve"> and jurisprudence. Information gathering, scientific analyses, disclosure and public feedback, and </w:t>
      </w:r>
      <w:r w:rsidRPr="00FA5329">
        <w:rPr>
          <w:rFonts w:ascii="Times New Roman" w:hAnsi="Times New Roman" w:cs="Times New Roman"/>
          <w:kern w:val="1"/>
          <w:sz w:val="24"/>
          <w:szCs w:val="24"/>
        </w:rPr>
        <w:lastRenderedPageBreak/>
        <w:t xml:space="preserve">administrative review all fall under the category of administrative </w:t>
      </w:r>
      <w:proofErr w:type="spellStart"/>
      <w:r w:rsidRPr="00FA5329">
        <w:rPr>
          <w:rFonts w:ascii="Times New Roman" w:hAnsi="Times New Roman" w:cs="Times New Roman"/>
          <w:kern w:val="1"/>
          <w:sz w:val="24"/>
          <w:szCs w:val="24"/>
        </w:rPr>
        <w:t>proceduralism</w:t>
      </w:r>
      <w:proofErr w:type="spellEnd"/>
      <w:r w:rsidRPr="00FA5329">
        <w:rPr>
          <w:rFonts w:ascii="Times New Roman" w:hAnsi="Times New Roman" w:cs="Times New Roman"/>
          <w:kern w:val="1"/>
          <w:sz w:val="24"/>
          <w:szCs w:val="24"/>
        </w:rPr>
        <w:t>. As governance mechanisms, they require plann</w:t>
      </w:r>
      <w:r w:rsidRPr="00FA5329">
        <w:rPr>
          <w:rFonts w:ascii="Times New Roman" w:hAnsi="Times New Roman" w:cs="Times New Roman"/>
          <w:kern w:val="1"/>
          <w:sz w:val="24"/>
          <w:szCs w:val="24"/>
        </w:rPr>
        <w:t>ers, policy makers, and decision makers to follow established sets of procedures, with the theory being that informational inputs from a breadth of disciplines and plurality of sources lead to better administration of programs. Jurisprudence provides a sys</w:t>
      </w:r>
      <w:r w:rsidRPr="00FA5329">
        <w:rPr>
          <w:rFonts w:ascii="Times New Roman" w:hAnsi="Times New Roman" w:cs="Times New Roman"/>
          <w:kern w:val="1"/>
          <w:sz w:val="24"/>
          <w:szCs w:val="24"/>
        </w:rPr>
        <w:t xml:space="preserve">tem of legal checks and balances to the </w:t>
      </w:r>
      <w:proofErr w:type="spellStart"/>
      <w:r w:rsidRPr="00FA5329">
        <w:rPr>
          <w:rFonts w:ascii="Times New Roman" w:hAnsi="Times New Roman" w:cs="Times New Roman"/>
          <w:kern w:val="1"/>
          <w:sz w:val="24"/>
          <w:szCs w:val="24"/>
        </w:rPr>
        <w:t>proceduralism</w:t>
      </w:r>
      <w:proofErr w:type="spellEnd"/>
      <w:r w:rsidRPr="00FA5329">
        <w:rPr>
          <w:rFonts w:ascii="Times New Roman" w:hAnsi="Times New Roman" w:cs="Times New Roman"/>
          <w:kern w:val="1"/>
          <w:sz w:val="24"/>
          <w:szCs w:val="24"/>
        </w:rPr>
        <w:t xml:space="preserve">. Judicial review, as well as the threats of costly legal fees, lengthy delays, and establishing new legal precedents, encourages prudence within the administrative process. The combined effect of these </w:t>
      </w:r>
      <w:r w:rsidRPr="00FA5329">
        <w:rPr>
          <w:rFonts w:ascii="Times New Roman" w:hAnsi="Times New Roman" w:cs="Times New Roman"/>
          <w:kern w:val="1"/>
          <w:sz w:val="24"/>
          <w:szCs w:val="24"/>
        </w:rPr>
        <w:t>governance mechanisms is a structured yet flexible framework for enabling state sanctioned environmental change. That every environment is a racialized environment means that NEPA also represents a framework for reshaping racialized space. Therefore, under</w:t>
      </w:r>
      <w:r w:rsidRPr="00FA5329">
        <w:rPr>
          <w:rFonts w:ascii="Times New Roman" w:hAnsi="Times New Roman" w:cs="Times New Roman"/>
          <w:kern w:val="1"/>
          <w:sz w:val="24"/>
          <w:szCs w:val="24"/>
        </w:rPr>
        <w:t>standing how the procedural and juridical elements of NEPA function as platforms for social justice organizing means ___.</w:t>
      </w:r>
    </w:p>
    <w:sectPr w:rsidR="00AD15E8" w:rsidRPr="00FA5329">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8A75E" w14:textId="77777777" w:rsidR="00E70BBA" w:rsidRDefault="00E70BBA">
      <w:r>
        <w:separator/>
      </w:r>
    </w:p>
  </w:endnote>
  <w:endnote w:type="continuationSeparator" w:id="0">
    <w:p w14:paraId="641198D5" w14:textId="77777777" w:rsidR="00E70BBA" w:rsidRDefault="00E7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FF" w:usb1="C0007841"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E19B6" w14:textId="77777777" w:rsidR="00AD15E8" w:rsidRDefault="00E70BBA">
    <w:pPr>
      <w:tabs>
        <w:tab w:val="right" w:pos="9360"/>
      </w:tabs>
      <w:rPr>
        <w:sz w:val="24"/>
        <w:szCs w:val="24"/>
      </w:rPr>
    </w:pPr>
    <w:r>
      <w:rPr>
        <w:sz w:val="24"/>
        <w:szCs w:val="24"/>
      </w:rPr>
      <w:t>PROOF COPY</w:t>
    </w:r>
    <w:r>
      <w:rPr>
        <w:sz w:val="24"/>
        <w:szCs w:val="24"/>
      </w:rPr>
      <w:tab/>
      <w:t>Not for distribution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5928E" w14:textId="77777777" w:rsidR="00E70BBA" w:rsidRDefault="00E70BBA">
      <w:r>
        <w:separator/>
      </w:r>
    </w:p>
  </w:footnote>
  <w:footnote w:type="continuationSeparator" w:id="0">
    <w:p w14:paraId="1DE468D2" w14:textId="77777777" w:rsidR="00E70BBA" w:rsidRDefault="00E70BBA">
      <w:r>
        <w:continuationSeparator/>
      </w:r>
    </w:p>
  </w:footnote>
  <w:footnote w:id="1">
    <w:p w14:paraId="334F9145" w14:textId="77777777" w:rsidR="00AD15E8" w:rsidRDefault="00E70BBA">
      <w:pPr>
        <w:rPr>
          <w:szCs w:val="24"/>
        </w:rPr>
      </w:pPr>
      <w:r>
        <w:rPr>
          <w:szCs w:val="24"/>
          <w:vertAlign w:val="superscript"/>
        </w:rPr>
        <w:footnoteRef/>
      </w:r>
      <w:r>
        <w:rPr>
          <w:sz w:val="24"/>
          <w:szCs w:val="24"/>
        </w:rPr>
        <w:t xml:space="preserve"> </w:t>
      </w:r>
      <w:r>
        <w:rPr>
          <w:szCs w:val="24"/>
        </w:rPr>
        <w:t xml:space="preserve">Inmate count </w:t>
      </w:r>
      <w:r>
        <w:rPr>
          <w:szCs w:val="24"/>
        </w:rPr>
        <w:t>as of 31 August, 2015: Kern Valley State Prison - 3,694, North Kern State Prison - 4,379, Delano Modified Community Corrections Facility &lt; 578. (Monthly Report of Population as of Midnight August 31, 2015, CDCR, 9/1/15)</w:t>
      </w:r>
    </w:p>
    <w:p w14:paraId="0E84CC3A" w14:textId="77777777" w:rsidR="00AD15E8" w:rsidRDefault="00AD15E8">
      <w:pPr>
        <w:rPr>
          <w:szCs w:val="24"/>
        </w:rPr>
      </w:pPr>
    </w:p>
    <w:p w14:paraId="179B7D7A" w14:textId="77777777" w:rsidR="00AD15E8" w:rsidRDefault="00E70BBA">
      <w:pPr>
        <w:rPr>
          <w:szCs w:val="24"/>
        </w:rPr>
      </w:pPr>
      <w:r>
        <w:rPr>
          <w:szCs w:val="24"/>
        </w:rPr>
        <w:t>Population estimate based on ACS 5-</w:t>
      </w:r>
      <w:r>
        <w:rPr>
          <w:szCs w:val="24"/>
        </w:rPr>
        <w:t>year estimate 2010-2014 (</w:t>
      </w:r>
      <w:hyperlink r:id="rId1" w:history="1">
        <w:r>
          <w:rPr>
            <w:rStyle w:val="Hyperlink"/>
            <w:color w:val="0000FF"/>
            <w:szCs w:val="24"/>
            <w:u w:val="single"/>
          </w:rPr>
          <w:t>http://factfinder.census.gov/faces/tableservices/jsf/pages/productview.xhtml?src=CF</w:t>
        </w:r>
      </w:hyperlink>
      <w:r>
        <w:rPr>
          <w:szCs w:val="24"/>
        </w:rPr>
        <w:t>)</w:t>
      </w:r>
    </w:p>
    <w:p w14:paraId="432971D5" w14:textId="77777777" w:rsidR="00AD15E8" w:rsidRDefault="00AD15E8">
      <w:pPr>
        <w:rPr>
          <w:szCs w:val="24"/>
        </w:rPr>
      </w:pPr>
    </w:p>
    <w:p w14:paraId="2800E148" w14:textId="77777777" w:rsidR="00AD15E8" w:rsidRDefault="00E70BBA">
      <w:pPr>
        <w:rPr>
          <w:sz w:val="28"/>
          <w:szCs w:val="24"/>
        </w:rPr>
      </w:pPr>
      <w:r>
        <w:rPr>
          <w:szCs w:val="24"/>
        </w:rPr>
        <w:t xml:space="preserve">The 2010 </w:t>
      </w:r>
      <w:proofErr w:type="spellStart"/>
      <w:r>
        <w:rPr>
          <w:szCs w:val="24"/>
        </w:rPr>
        <w:t>decentenial</w:t>
      </w:r>
      <w:proofErr w:type="spellEnd"/>
      <w:r>
        <w:rPr>
          <w:szCs w:val="24"/>
        </w:rPr>
        <w:t xml:space="preserve"> census estimated the </w:t>
      </w:r>
      <w:r>
        <w:rPr>
          <w:szCs w:val="24"/>
        </w:rPr>
        <w:t>population at 53,041, with 10,719 counted within the “institutionalized population,” yielding an estimate of over 20% of the City’s population being incarcerated or otherwise institutionalized (http://factfinder.census.gov/bkmk/table/1.0/en/DEC/10_DP/DPDP1</w:t>
      </w:r>
      <w:r>
        <w:rPr>
          <w:szCs w:val="24"/>
        </w:rPr>
        <w:t xml:space="preserve">/1600000US0618394). CDCR statistics for 2010 report the total populations for Kern Valley State Prison and North Kern State Prison at 4,675 and 5,270, respectively, with approximately 580 additional individuals in the Delano Modified Community Corrections </w:t>
      </w:r>
      <w:r>
        <w:rPr>
          <w:szCs w:val="24"/>
        </w:rPr>
        <w:t>Facility (CDCR 2011).</w:t>
      </w:r>
    </w:p>
  </w:footnote>
  <w:footnote w:id="2">
    <w:p w14:paraId="44CF4605" w14:textId="77777777" w:rsidR="00AD15E8" w:rsidRDefault="00E70BBA">
      <w:pPr>
        <w:rPr>
          <w:sz w:val="24"/>
          <w:szCs w:val="24"/>
        </w:rPr>
      </w:pPr>
      <w:r>
        <w:rPr>
          <w:szCs w:val="24"/>
          <w:vertAlign w:val="superscript"/>
        </w:rPr>
        <w:footnoteRef/>
      </w:r>
      <w:r>
        <w:rPr>
          <w:sz w:val="24"/>
          <w:szCs w:val="24"/>
        </w:rPr>
        <w:t xml:space="preserve"> </w:t>
      </w:r>
      <w:proofErr w:type="spellStart"/>
      <w:r>
        <w:rPr>
          <w:szCs w:val="24"/>
        </w:rPr>
        <w:t>Yokuts</w:t>
      </w:r>
      <w:proofErr w:type="spellEnd"/>
      <w:r>
        <w:rPr>
          <w:szCs w:val="24"/>
        </w:rPr>
        <w:t xml:space="preserve"> (also </w:t>
      </w:r>
      <w:proofErr w:type="spellStart"/>
      <w:r>
        <w:rPr>
          <w:szCs w:val="24"/>
        </w:rPr>
        <w:t>Yokote</w:t>
      </w:r>
      <w:proofErr w:type="spellEnd"/>
      <w:r>
        <w:rPr>
          <w:szCs w:val="24"/>
        </w:rPr>
        <w:t xml:space="preserve">, </w:t>
      </w:r>
      <w:proofErr w:type="spellStart"/>
      <w:r>
        <w:rPr>
          <w:szCs w:val="24"/>
        </w:rPr>
        <w:t>Yokots</w:t>
      </w:r>
      <w:proofErr w:type="spellEnd"/>
      <w:r>
        <w:rPr>
          <w:szCs w:val="24"/>
        </w:rPr>
        <w:t xml:space="preserve">, or </w:t>
      </w:r>
      <w:proofErr w:type="spellStart"/>
      <w:r>
        <w:rPr>
          <w:szCs w:val="24"/>
        </w:rPr>
        <w:t>Yokoch</w:t>
      </w:r>
      <w:proofErr w:type="spellEnd"/>
      <w:r>
        <w:rPr>
          <w:szCs w:val="24"/>
        </w:rPr>
        <w:t xml:space="preserve">) and </w:t>
      </w:r>
      <w:proofErr w:type="spellStart"/>
      <w:r>
        <w:rPr>
          <w:szCs w:val="24"/>
        </w:rPr>
        <w:t>Shoshonean</w:t>
      </w:r>
      <w:proofErr w:type="spellEnd"/>
      <w:r>
        <w:rPr>
          <w:szCs w:val="24"/>
        </w:rPr>
        <w:t xml:space="preserve"> are general terms that refer to linguistic families, not specific tribes. </w:t>
      </w:r>
      <w:proofErr w:type="spellStart"/>
      <w:r>
        <w:rPr>
          <w:szCs w:val="24"/>
        </w:rPr>
        <w:t>Yokuts</w:t>
      </w:r>
      <w:proofErr w:type="spellEnd"/>
      <w:r>
        <w:rPr>
          <w:szCs w:val="24"/>
        </w:rPr>
        <w:t xml:space="preserve"> is a word meaning "people" in most of the </w:t>
      </w:r>
      <w:proofErr w:type="spellStart"/>
      <w:r>
        <w:rPr>
          <w:szCs w:val="24"/>
        </w:rPr>
        <w:t>Yokuts</w:t>
      </w:r>
      <w:proofErr w:type="spellEnd"/>
      <w:r>
        <w:rPr>
          <w:szCs w:val="24"/>
        </w:rPr>
        <w:t xml:space="preserve"> dialects, while </w:t>
      </w:r>
      <w:proofErr w:type="spellStart"/>
      <w:r>
        <w:rPr>
          <w:szCs w:val="24"/>
        </w:rPr>
        <w:t>Shoshonean</w:t>
      </w:r>
      <w:proofErr w:type="spellEnd"/>
      <w:r>
        <w:rPr>
          <w:szCs w:val="24"/>
        </w:rPr>
        <w:t xml:space="preserve"> identifies peoples w</w:t>
      </w:r>
      <w:r>
        <w:rPr>
          <w:szCs w:val="24"/>
        </w:rPr>
        <w:t xml:space="preserve">hose dialects derived from the Shoshoni language. Most of the </w:t>
      </w:r>
      <w:proofErr w:type="spellStart"/>
      <w:r>
        <w:rPr>
          <w:szCs w:val="24"/>
        </w:rPr>
        <w:t>Yokuts</w:t>
      </w:r>
      <w:proofErr w:type="spellEnd"/>
      <w:r>
        <w:rPr>
          <w:szCs w:val="24"/>
        </w:rPr>
        <w:t xml:space="preserve"> peoples were divided into tribes with distinct names and dialects. The area where the City of Delano now sits was primarily inhabited by </w:t>
      </w:r>
      <w:proofErr w:type="spellStart"/>
      <w:r>
        <w:rPr>
          <w:szCs w:val="24"/>
        </w:rPr>
        <w:t>Paleuyami</w:t>
      </w:r>
      <w:proofErr w:type="spellEnd"/>
      <w:r>
        <w:rPr>
          <w:szCs w:val="24"/>
        </w:rPr>
        <w:t xml:space="preserve"> peoples when the Spanish and Americans s</w:t>
      </w:r>
      <w:r>
        <w:rPr>
          <w:szCs w:val="24"/>
        </w:rPr>
        <w:t xml:space="preserve">ettled in the valley. Their neighbors were other Foothill and Valley </w:t>
      </w:r>
      <w:proofErr w:type="spellStart"/>
      <w:r>
        <w:rPr>
          <w:szCs w:val="24"/>
        </w:rPr>
        <w:t>Yokuts</w:t>
      </w:r>
      <w:proofErr w:type="spellEnd"/>
      <w:r>
        <w:rPr>
          <w:szCs w:val="24"/>
        </w:rPr>
        <w:t xml:space="preserve"> tribes including the </w:t>
      </w:r>
      <w:proofErr w:type="spellStart"/>
      <w:r>
        <w:rPr>
          <w:szCs w:val="24"/>
        </w:rPr>
        <w:t>Yauelmani</w:t>
      </w:r>
      <w:proofErr w:type="spellEnd"/>
      <w:r>
        <w:rPr>
          <w:szCs w:val="24"/>
        </w:rPr>
        <w:t xml:space="preserve">, as well as the </w:t>
      </w:r>
      <w:proofErr w:type="spellStart"/>
      <w:r>
        <w:rPr>
          <w:szCs w:val="24"/>
        </w:rPr>
        <w:t>Shoshonean</w:t>
      </w:r>
      <w:proofErr w:type="spellEnd"/>
      <w:r>
        <w:rPr>
          <w:szCs w:val="24"/>
        </w:rPr>
        <w:t xml:space="preserve"> </w:t>
      </w:r>
      <w:proofErr w:type="spellStart"/>
      <w:r>
        <w:rPr>
          <w:szCs w:val="24"/>
        </w:rPr>
        <w:t>Giamina</w:t>
      </w:r>
      <w:proofErr w:type="spellEnd"/>
      <w:r>
        <w:rPr>
          <w:szCs w:val="24"/>
        </w:rPr>
        <w:t>. Kroeber 1907a; Kroeber 1907b; Kroeber 1925.</w:t>
      </w:r>
    </w:p>
  </w:footnote>
  <w:footnote w:id="3">
    <w:p w14:paraId="5EBE16DD" w14:textId="77777777" w:rsidR="00AD15E8" w:rsidRDefault="00E70BBA">
      <w:pPr>
        <w:rPr>
          <w:sz w:val="24"/>
          <w:szCs w:val="24"/>
        </w:rPr>
      </w:pPr>
      <w:r>
        <w:rPr>
          <w:szCs w:val="24"/>
          <w:vertAlign w:val="superscript"/>
        </w:rPr>
        <w:footnoteRef/>
      </w:r>
      <w:r>
        <w:rPr>
          <w:sz w:val="24"/>
          <w:szCs w:val="24"/>
        </w:rPr>
        <w:t xml:space="preserve"> </w:t>
      </w:r>
      <w:r>
        <w:rPr>
          <w:szCs w:val="24"/>
        </w:rPr>
        <w:t xml:space="preserve">as a result of raids on </w:t>
      </w:r>
      <w:proofErr w:type="spellStart"/>
      <w:r>
        <w:rPr>
          <w:szCs w:val="24"/>
        </w:rPr>
        <w:t>rancherías</w:t>
      </w:r>
      <w:proofErr w:type="spellEnd"/>
      <w:r>
        <w:rPr>
          <w:szCs w:val="24"/>
        </w:rPr>
        <w:t xml:space="preserve">, the spread of diseases such as </w:t>
      </w:r>
      <w:r>
        <w:rPr>
          <w:szCs w:val="24"/>
        </w:rPr>
        <w:t>malaria, and forced displacement due to settlement and resource depletion resulting from environmental change (</w:t>
      </w:r>
      <w:proofErr w:type="spellStart"/>
      <w:r>
        <w:rPr>
          <w:szCs w:val="24"/>
        </w:rPr>
        <w:t>Garone</w:t>
      </w:r>
      <w:proofErr w:type="spellEnd"/>
      <w:r>
        <w:rPr>
          <w:szCs w:val="24"/>
        </w:rPr>
        <w:t xml:space="preserve"> 2011; Preston 1981; </w:t>
      </w:r>
      <w:r>
        <w:rPr>
          <w:szCs w:val="24"/>
          <w:highlight w:val="yellow"/>
        </w:rPr>
        <w:t>find additional citation for raids</w:t>
      </w:r>
      <w:r>
        <w:rPr>
          <w:szCs w:val="24"/>
        </w:rPr>
        <w:t>)</w:t>
      </w:r>
    </w:p>
  </w:footnote>
  <w:footnote w:id="4">
    <w:p w14:paraId="3D800F73" w14:textId="77777777" w:rsidR="00AD15E8" w:rsidRDefault="00E70BBA">
      <w:pPr>
        <w:rPr>
          <w:sz w:val="24"/>
          <w:szCs w:val="24"/>
        </w:rPr>
      </w:pPr>
      <w:r>
        <w:rPr>
          <w:szCs w:val="24"/>
          <w:vertAlign w:val="superscript"/>
        </w:rPr>
        <w:footnoteRef/>
      </w:r>
      <w:r>
        <w:rPr>
          <w:sz w:val="24"/>
          <w:szCs w:val="24"/>
        </w:rPr>
        <w:t xml:space="preserve"> </w:t>
      </w:r>
      <w:proofErr w:type="spellStart"/>
      <w:r>
        <w:rPr>
          <w:szCs w:val="24"/>
        </w:rPr>
        <w:t>Vredenburgh</w:t>
      </w:r>
      <w:proofErr w:type="spellEnd"/>
      <w:r>
        <w:rPr>
          <w:szCs w:val="24"/>
        </w:rPr>
        <w:t xml:space="preserve"> (1991) states that gold was first discovered in the Greenhorn River </w:t>
      </w:r>
      <w:r>
        <w:rPr>
          <w:szCs w:val="24"/>
        </w:rPr>
        <w:t xml:space="preserve">in 1851, sparking the gold rush in the Kern Valley, with gold being discovered in the Kern and other rivers in subsequent years. </w:t>
      </w:r>
      <w:proofErr w:type="spellStart"/>
      <w:r>
        <w:rPr>
          <w:szCs w:val="24"/>
        </w:rPr>
        <w:t>Menefee</w:t>
      </w:r>
      <w:proofErr w:type="spellEnd"/>
      <w:r>
        <w:rPr>
          <w:szCs w:val="24"/>
        </w:rPr>
        <w:t xml:space="preserve"> and Dodge (1913) offer 1853 as the starting year for the Kern River gold rush. </w:t>
      </w:r>
      <w:proofErr w:type="spellStart"/>
      <w:r>
        <w:rPr>
          <w:szCs w:val="24"/>
        </w:rPr>
        <w:t>Vredenburgh</w:t>
      </w:r>
      <w:proofErr w:type="spellEnd"/>
      <w:r>
        <w:rPr>
          <w:szCs w:val="24"/>
        </w:rPr>
        <w:t xml:space="preserve"> 1991; </w:t>
      </w:r>
      <w:proofErr w:type="spellStart"/>
      <w:r>
        <w:rPr>
          <w:szCs w:val="24"/>
        </w:rPr>
        <w:t>Menefee</w:t>
      </w:r>
      <w:proofErr w:type="spellEnd"/>
      <w:r>
        <w:rPr>
          <w:szCs w:val="24"/>
        </w:rPr>
        <w:t xml:space="preserve"> and Dodge 1913</w:t>
      </w:r>
    </w:p>
  </w:footnote>
  <w:footnote w:id="5">
    <w:p w14:paraId="74DD8F95" w14:textId="77777777" w:rsidR="00AD15E8" w:rsidRDefault="00E70BBA">
      <w:pPr>
        <w:rPr>
          <w:sz w:val="24"/>
          <w:szCs w:val="24"/>
        </w:rPr>
      </w:pPr>
      <w:r>
        <w:rPr>
          <w:szCs w:val="24"/>
          <w:vertAlign w:val="superscript"/>
        </w:rPr>
        <w:footnoteRef/>
      </w:r>
      <w:r>
        <w:rPr>
          <w:sz w:val="24"/>
          <w:szCs w:val="24"/>
        </w:rPr>
        <w:t xml:space="preserve"> </w:t>
      </w:r>
      <w:r>
        <w:rPr>
          <w:szCs w:val="24"/>
        </w:rPr>
        <w:t>As the census was collected the first week of 1920 (U.S. Census Bureau https://www.census.gov/history/www/faqs/demographic</w:t>
      </w:r>
      <w:r>
        <w:rPr>
          <w:i/>
          <w:szCs w:val="24"/>
        </w:rPr>
        <w:t>faqs/what</w:t>
      </w:r>
      <w:r>
        <w:rPr>
          <w:szCs w:val="24"/>
        </w:rPr>
        <w:t>day</w:t>
      </w:r>
      <w:r>
        <w:rPr>
          <w:i/>
          <w:szCs w:val="24"/>
        </w:rPr>
        <w:t>was</w:t>
      </w:r>
      <w:r>
        <w:rPr>
          <w:szCs w:val="24"/>
        </w:rPr>
        <w:t>the</w:t>
      </w:r>
      <w:r>
        <w:rPr>
          <w:i/>
          <w:szCs w:val="24"/>
        </w:rPr>
        <w:t>census</w:t>
      </w:r>
      <w:r>
        <w:rPr>
          <w:szCs w:val="24"/>
        </w:rPr>
        <w:t>taken</w:t>
      </w:r>
      <w:r>
        <w:rPr>
          <w:i/>
          <w:szCs w:val="24"/>
        </w:rPr>
        <w:t>each</w:t>
      </w:r>
      <w:r>
        <w:rPr>
          <w:szCs w:val="24"/>
        </w:rPr>
        <w:t>decade.html), this figure likely undercounted the migrant farm workers who would pass through Dela</w:t>
      </w:r>
      <w:r>
        <w:rPr>
          <w:szCs w:val="24"/>
        </w:rPr>
        <w:t>no during picking seasons; footnote: 1930 onward census was collected in April, possibly contributing to the big jump in population in 1930</w:t>
      </w:r>
    </w:p>
  </w:footnote>
  <w:footnote w:id="6">
    <w:p w14:paraId="72DA3B0A" w14:textId="77777777" w:rsidR="00AD15E8" w:rsidRDefault="00E70BBA">
      <w:pPr>
        <w:rPr>
          <w:sz w:val="24"/>
          <w:szCs w:val="24"/>
        </w:rPr>
      </w:pPr>
      <w:r>
        <w:rPr>
          <w:szCs w:val="24"/>
          <w:vertAlign w:val="superscript"/>
        </w:rPr>
        <w:footnoteRef/>
      </w:r>
      <w:r>
        <w:rPr>
          <w:sz w:val="24"/>
          <w:szCs w:val="24"/>
        </w:rPr>
        <w:t xml:space="preserve"> </w:t>
      </w:r>
      <w:r>
        <w:rPr>
          <w:szCs w:val="24"/>
        </w:rPr>
        <w:t>The US Federal Bureau of Immigration was the predecessor to the US Immigration and Naturalization Service, which i</w:t>
      </w:r>
      <w:r>
        <w:rPr>
          <w:szCs w:val="24"/>
        </w:rPr>
        <w:t>n turn was succeeded by the Immigration and Customs Enforcement following the establishment of the US Department of Homeland Security following the September 11, 2001 attacks on the Pentagon in Washington, DC, and the World Trade Center in New York City.</w:t>
      </w:r>
    </w:p>
  </w:footnote>
  <w:footnote w:id="7">
    <w:p w14:paraId="3917EED6" w14:textId="77777777" w:rsidR="00AD15E8" w:rsidRDefault="00E70BBA">
      <w:pPr>
        <w:rPr>
          <w:sz w:val="24"/>
          <w:szCs w:val="24"/>
        </w:rPr>
      </w:pPr>
      <w:r>
        <w:rPr>
          <w:szCs w:val="24"/>
          <w:vertAlign w:val="superscript"/>
        </w:rPr>
        <w:footnoteRef/>
      </w:r>
      <w:r>
        <w:rPr>
          <w:sz w:val="24"/>
          <w:szCs w:val="24"/>
        </w:rPr>
        <w:t xml:space="preserve"> </w:t>
      </w:r>
      <w:r>
        <w:rPr>
          <w:szCs w:val="24"/>
        </w:rPr>
        <w:t xml:space="preserve">Ruth Wilson Gilmore and Craig Gilmore, “Restating the Obvious,” in </w:t>
      </w:r>
      <w:r>
        <w:rPr>
          <w:i/>
          <w:szCs w:val="24"/>
        </w:rPr>
        <w:t>Indefensible Space: The Architecture of the National Insecurity State</w:t>
      </w:r>
      <w:r>
        <w:rPr>
          <w:szCs w:val="24"/>
        </w:rPr>
        <w:t xml:space="preserve">, ed. Michael </w:t>
      </w:r>
      <w:proofErr w:type="spellStart"/>
      <w:r>
        <w:rPr>
          <w:szCs w:val="24"/>
        </w:rPr>
        <w:t>Sorkin</w:t>
      </w:r>
      <w:proofErr w:type="spellEnd"/>
      <w:r>
        <w:rPr>
          <w:szCs w:val="24"/>
        </w:rPr>
        <w:t xml:space="preserve"> (New York and London: Routledge, 2008), 141–61.</w:t>
      </w:r>
    </w:p>
  </w:footnote>
  <w:footnote w:id="8">
    <w:p w14:paraId="6632597D" w14:textId="77777777" w:rsidR="00AD15E8" w:rsidRDefault="00E70BBA">
      <w:pPr>
        <w:rPr>
          <w:szCs w:val="24"/>
        </w:rPr>
      </w:pPr>
      <w:r>
        <w:rPr>
          <w:szCs w:val="24"/>
          <w:vertAlign w:val="superscript"/>
        </w:rPr>
        <w:footnoteRef/>
      </w:r>
      <w:r>
        <w:rPr>
          <w:sz w:val="24"/>
          <w:szCs w:val="24"/>
        </w:rPr>
        <w:t xml:space="preserve"> </w:t>
      </w:r>
      <w:r>
        <w:rPr>
          <w:szCs w:val="24"/>
        </w:rPr>
        <w:t>1994. California Department of Corrections. “Dra</w:t>
      </w:r>
      <w:r>
        <w:rPr>
          <w:szCs w:val="24"/>
        </w:rPr>
        <w:t xml:space="preserve">ft EIR: California State Prison - Kern County at Delano II.” California State Clearinghouse (SCH) No. 1994022069. </w:t>
      </w:r>
      <w:hyperlink r:id="rId2" w:history="1">
        <w:r>
          <w:rPr>
            <w:rStyle w:val="Hyperlink"/>
            <w:color w:val="0000FF"/>
            <w:szCs w:val="24"/>
            <w:u w:val="single"/>
          </w:rPr>
          <w:t>http://www.ceqanet.ca.gov/DocDescription.asp?DocPK=44699</w:t>
        </w:r>
      </w:hyperlink>
    </w:p>
    <w:p w14:paraId="349FF0C5" w14:textId="77777777" w:rsidR="00AD15E8" w:rsidRDefault="00E70B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sz w:val="24"/>
          <w:szCs w:val="24"/>
        </w:rPr>
      </w:pPr>
      <w:r>
        <w:rPr>
          <w:szCs w:val="24"/>
        </w:rPr>
        <w:t xml:space="preserve">2000. </w:t>
      </w:r>
      <w:r>
        <w:rPr>
          <w:szCs w:val="24"/>
        </w:rPr>
        <w:t>California Department of Corrections. “Subsequent Draft EIR: California State Prison - Kern County at Delano II.” SCH No. 1994022069.</w:t>
      </w:r>
    </w:p>
  </w:footnote>
  <w:footnote w:id="9">
    <w:p w14:paraId="76E47FAB" w14:textId="77777777" w:rsidR="00AD15E8" w:rsidRDefault="00E70BBA">
      <w:pPr>
        <w:rPr>
          <w:szCs w:val="24"/>
        </w:rPr>
      </w:pPr>
      <w:r>
        <w:rPr>
          <w:szCs w:val="24"/>
          <w:vertAlign w:val="superscript"/>
        </w:rPr>
        <w:footnoteRef/>
      </w:r>
      <w:r>
        <w:rPr>
          <w:sz w:val="24"/>
          <w:szCs w:val="24"/>
        </w:rPr>
        <w:t xml:space="preserve"> </w:t>
      </w:r>
      <w:r>
        <w:rPr>
          <w:szCs w:val="24"/>
        </w:rPr>
        <w:t>1995. California Department of Corrections. “Notice of Determination: California State Prison - Kern County at Delano II</w:t>
      </w:r>
      <w:r>
        <w:rPr>
          <w:szCs w:val="24"/>
        </w:rPr>
        <w:t xml:space="preserve">.” SCH No. 1995109756. </w:t>
      </w:r>
      <w:hyperlink r:id="rId3" w:history="1">
        <w:r>
          <w:rPr>
            <w:rStyle w:val="Hyperlink"/>
            <w:color w:val="0000FF"/>
            <w:szCs w:val="24"/>
            <w:u w:val="single"/>
          </w:rPr>
          <w:t>http://www.ceqanet.ca.gov/NODdescription.asp?DocPK=140208</w:t>
        </w:r>
      </w:hyperlink>
    </w:p>
    <w:p w14:paraId="3702B59D" w14:textId="77777777" w:rsidR="00AD15E8" w:rsidRDefault="00E70BBA">
      <w:pPr>
        <w:rPr>
          <w:sz w:val="24"/>
          <w:szCs w:val="24"/>
        </w:rPr>
      </w:pPr>
      <w:r>
        <w:rPr>
          <w:szCs w:val="24"/>
        </w:rPr>
        <w:t>2000. California Department of Corrections. “Subsequent Draft EIR: California State Prison - Kern Count</w:t>
      </w:r>
      <w:r>
        <w:rPr>
          <w:szCs w:val="24"/>
        </w:rPr>
        <w:t>y at Delano II.” SCH No. 1994022069.</w:t>
      </w:r>
    </w:p>
  </w:footnote>
  <w:footnote w:id="10">
    <w:p w14:paraId="7DFE107D" w14:textId="77777777" w:rsidR="00AD15E8" w:rsidRDefault="00E70BBA">
      <w:pPr>
        <w:rPr>
          <w:i/>
          <w:sz w:val="24"/>
          <w:szCs w:val="24"/>
        </w:rPr>
      </w:pPr>
      <w:r>
        <w:rPr>
          <w:szCs w:val="24"/>
          <w:vertAlign w:val="superscript"/>
        </w:rPr>
        <w:footnoteRef/>
      </w:r>
      <w:r>
        <w:rPr>
          <w:sz w:val="24"/>
          <w:szCs w:val="24"/>
        </w:rPr>
        <w:t xml:space="preserve"> </w:t>
      </w:r>
      <w:hyperlink r:id="rId4" w:history="1">
        <w:r>
          <w:rPr>
            <w:rStyle w:val="Hyperlink"/>
            <w:color w:val="0000FF"/>
            <w:szCs w:val="24"/>
            <w:u w:val="single"/>
          </w:rPr>
          <w:t>http://www.lao.ca.gov/analysis</w:t>
        </w:r>
        <w:r>
          <w:rPr>
            <w:rStyle w:val="Hyperlink"/>
            <w:i/>
            <w:color w:val="0000FF"/>
            <w:szCs w:val="24"/>
            <w:u w:val="single"/>
          </w:rPr>
          <w:t>1995/part1.html</w:t>
        </w:r>
      </w:hyperlink>
    </w:p>
  </w:footnote>
  <w:footnote w:id="11">
    <w:p w14:paraId="16CB7E0E" w14:textId="77777777" w:rsidR="00AD15E8" w:rsidRDefault="00E70BBA">
      <w:pPr>
        <w:rPr>
          <w:sz w:val="24"/>
          <w:szCs w:val="24"/>
        </w:rPr>
      </w:pPr>
      <w:r>
        <w:rPr>
          <w:szCs w:val="24"/>
          <w:vertAlign w:val="superscript"/>
        </w:rPr>
        <w:footnoteRef/>
      </w:r>
      <w:r>
        <w:rPr>
          <w:sz w:val="24"/>
          <w:szCs w:val="24"/>
        </w:rPr>
        <w:t xml:space="preserve"> </w:t>
      </w:r>
      <w:hyperlink r:id="rId5" w:history="1">
        <w:r>
          <w:rPr>
            <w:rStyle w:val="Hyperlink"/>
            <w:i/>
            <w:color w:val="0000FF"/>
            <w:szCs w:val="24"/>
            <w:u w:val="single"/>
          </w:rPr>
          <w:t>https://www.rand.org/</w:t>
        </w:r>
        <w:r>
          <w:rPr>
            <w:rStyle w:val="Hyperlink"/>
            <w:i/>
            <w:color w:val="0000FF"/>
            <w:szCs w:val="24"/>
            <w:u w:val="single"/>
          </w:rPr>
          <w:t>content/dam/rand/pubs/monograph</w:t>
        </w:r>
        <w:r>
          <w:rPr>
            <w:rStyle w:val="Hyperlink"/>
            <w:color w:val="0000FF"/>
            <w:szCs w:val="24"/>
            <w:u w:val="single"/>
          </w:rPr>
          <w:t>reports/2006/MR179.pdf</w:t>
        </w:r>
      </w:hyperlink>
    </w:p>
  </w:footnote>
  <w:footnote w:id="12">
    <w:p w14:paraId="17AF8F45" w14:textId="77777777" w:rsidR="00AD15E8" w:rsidRDefault="00E70BBA">
      <w:pPr>
        <w:rPr>
          <w:sz w:val="24"/>
          <w:szCs w:val="24"/>
        </w:rPr>
      </w:pPr>
      <w:r>
        <w:rPr>
          <w:szCs w:val="24"/>
          <w:vertAlign w:val="superscript"/>
        </w:rPr>
        <w:footnoteRef/>
      </w:r>
      <w:r>
        <w:rPr>
          <w:sz w:val="24"/>
          <w:szCs w:val="24"/>
        </w:rPr>
        <w:t xml:space="preserve"> </w:t>
      </w:r>
      <w:hyperlink r:id="rId6" w:history="1">
        <w:r>
          <w:rPr>
            <w:rStyle w:val="Hyperlink"/>
            <w:color w:val="0000FF"/>
            <w:szCs w:val="24"/>
            <w:u w:val="single"/>
          </w:rPr>
          <w:t>http://www.lao.ca.gov/analysis_1995/part4-B.html</w:t>
        </w:r>
      </w:hyperlink>
    </w:p>
  </w:footnote>
  <w:footnote w:id="13">
    <w:p w14:paraId="4517F5AD" w14:textId="77777777" w:rsidR="00AD15E8" w:rsidRDefault="00E70BBA">
      <w:pPr>
        <w:rPr>
          <w:sz w:val="24"/>
          <w:szCs w:val="24"/>
        </w:rPr>
      </w:pPr>
      <w:r>
        <w:rPr>
          <w:szCs w:val="24"/>
          <w:vertAlign w:val="superscript"/>
        </w:rPr>
        <w:footnoteRef/>
      </w:r>
      <w:r>
        <w:rPr>
          <w:sz w:val="24"/>
          <w:szCs w:val="24"/>
        </w:rPr>
        <w:t xml:space="preserve"> </w:t>
      </w:r>
      <w:hyperlink r:id="rId7" w:history="1">
        <w:r>
          <w:rPr>
            <w:rStyle w:val="Hyperlink"/>
            <w:color w:val="0000FF"/>
            <w:szCs w:val="24"/>
            <w:u w:val="single"/>
          </w:rPr>
          <w:t>http://www.lao.ca.gov/1999/99</w:t>
        </w:r>
        <w:r>
          <w:rPr>
            <w:rStyle w:val="Hyperlink"/>
            <w:i/>
            <w:color w:val="0000FF"/>
            <w:szCs w:val="24"/>
            <w:u w:val="single"/>
          </w:rPr>
          <w:t>budget</w:t>
        </w:r>
        <w:r>
          <w:rPr>
            <w:rStyle w:val="Hyperlink"/>
            <w:color w:val="0000FF"/>
            <w:szCs w:val="24"/>
            <w:u w:val="single"/>
          </w:rPr>
          <w:t>features.html</w:t>
        </w:r>
      </w:hyperlink>
    </w:p>
  </w:footnote>
  <w:footnote w:id="14">
    <w:p w14:paraId="4338BCBF" w14:textId="77777777" w:rsidR="00AD15E8" w:rsidRDefault="00E70BBA">
      <w:pPr>
        <w:rPr>
          <w:sz w:val="24"/>
          <w:szCs w:val="24"/>
        </w:rPr>
      </w:pPr>
      <w:r>
        <w:rPr>
          <w:szCs w:val="24"/>
          <w:vertAlign w:val="superscript"/>
        </w:rPr>
        <w:footnoteRef/>
      </w:r>
      <w:r>
        <w:rPr>
          <w:sz w:val="24"/>
          <w:szCs w:val="24"/>
        </w:rPr>
        <w:t xml:space="preserve"> </w:t>
      </w:r>
      <w:r>
        <w:rPr>
          <w:szCs w:val="24"/>
        </w:rPr>
        <w:t xml:space="preserve">In the State of California, “urgency legislation” is a term used to describe legislation that takes immediate effect once passed by the legislature and signed by the governor, and requires a two-thirds </w:t>
      </w:r>
      <w:r>
        <w:rPr>
          <w:szCs w:val="24"/>
        </w:rPr>
        <w:t xml:space="preserve">vote for approval. In the case of budget items, urgency legislation can make funds available for immediate appropriation, rather than when the full budget is signed by the governor. </w:t>
      </w:r>
      <w:hyperlink r:id="rId8" w:history="1">
        <w:r>
          <w:rPr>
            <w:rStyle w:val="Hyperlink"/>
            <w:color w:val="0000FF"/>
            <w:szCs w:val="24"/>
            <w:u w:val="single"/>
          </w:rPr>
          <w:t>http://www.leginfo.ca.gov/</w:t>
        </w:r>
        <w:r>
          <w:rPr>
            <w:rStyle w:val="Hyperlink"/>
            <w:color w:val="0000FF"/>
            <w:szCs w:val="24"/>
            <w:u w:val="single"/>
          </w:rPr>
          <w:t>guide.html</w:t>
        </w:r>
      </w:hyperlink>
      <w:r>
        <w:rPr>
          <w:szCs w:val="24"/>
        </w:rPr>
        <w:t xml:space="preserve">; </w:t>
      </w:r>
      <w:hyperlink r:id="rId9" w:history="1">
        <w:r>
          <w:rPr>
            <w:rStyle w:val="Hyperlink"/>
            <w:color w:val="0000FF"/>
            <w:szCs w:val="24"/>
            <w:u w:val="single"/>
          </w:rPr>
          <w:t>http://www.dof.ca.gov/fisa/bag/process.htm</w:t>
        </w:r>
      </w:hyperlink>
    </w:p>
  </w:footnote>
  <w:footnote w:id="15">
    <w:p w14:paraId="72ADCF7D" w14:textId="77777777" w:rsidR="00AD15E8" w:rsidRDefault="00E70BBA">
      <w:pPr>
        <w:rPr>
          <w:sz w:val="24"/>
          <w:szCs w:val="24"/>
        </w:rPr>
      </w:pPr>
      <w:r>
        <w:rPr>
          <w:szCs w:val="24"/>
          <w:vertAlign w:val="superscript"/>
        </w:rPr>
        <w:footnoteRef/>
      </w:r>
      <w:r>
        <w:rPr>
          <w:sz w:val="24"/>
          <w:szCs w:val="24"/>
        </w:rPr>
        <w:t xml:space="preserve"> </w:t>
      </w:r>
      <w:proofErr w:type="spellStart"/>
      <w:r>
        <w:rPr>
          <w:szCs w:val="24"/>
        </w:rPr>
        <w:t>Braz</w:t>
      </w:r>
      <w:proofErr w:type="spellEnd"/>
      <w:r>
        <w:rPr>
          <w:szCs w:val="24"/>
        </w:rPr>
        <w:t xml:space="preserve"> and Gilmore 2006; Friends of the Kangaroo Rat v. CDC 2003; Section 15819.295, Chapter 3.1. Lease-Purchase Financing of Prison Construc</w:t>
      </w:r>
      <w:r>
        <w:rPr>
          <w:szCs w:val="24"/>
        </w:rPr>
        <w:t>tion, California Government Code, vol. 15819.1–15819.295, accessed September 9, 2015, http://leginfo.legislature.ca.gov/faces/codes_displayText.xhtml?lawCode=GOV&amp;division=3.&amp;title=2.&amp;part=10b.&amp;chapter=3.1.</w:t>
      </w:r>
    </w:p>
  </w:footnote>
  <w:footnote w:id="16">
    <w:p w14:paraId="10FDE207" w14:textId="77777777" w:rsidR="00AD15E8" w:rsidRDefault="00E70BBA">
      <w:pPr>
        <w:rPr>
          <w:sz w:val="24"/>
          <w:szCs w:val="24"/>
        </w:rPr>
      </w:pPr>
      <w:r>
        <w:rPr>
          <w:szCs w:val="24"/>
          <w:vertAlign w:val="superscript"/>
        </w:rPr>
        <w:footnoteRef/>
      </w:r>
      <w:r>
        <w:rPr>
          <w:sz w:val="24"/>
          <w:szCs w:val="24"/>
        </w:rPr>
        <w:t xml:space="preserve"> </w:t>
      </w:r>
      <w:r>
        <w:rPr>
          <w:i/>
          <w:szCs w:val="24"/>
        </w:rPr>
        <w:t>Section 15819.295, Chapter 3.1. Lease-Purchase F</w:t>
      </w:r>
      <w:r>
        <w:rPr>
          <w:i/>
          <w:szCs w:val="24"/>
        </w:rPr>
        <w:t>inancing of Prison Construction, California Government Code, vol. 15819.1–15819.295, accessed September 9, 2015, http://leginfo.legislature.ca.gov/faces/codes_displayText.xhtml?lawCode=GOV&amp;division=3.&amp;title=2.&amp;part=10b.&amp;chapter=3.1.</w:t>
      </w:r>
    </w:p>
  </w:footnote>
  <w:footnote w:id="17">
    <w:p w14:paraId="76D4E481" w14:textId="77777777" w:rsidR="00AD15E8" w:rsidRDefault="00E70BBA">
      <w:pPr>
        <w:rPr>
          <w:sz w:val="24"/>
          <w:szCs w:val="24"/>
        </w:rPr>
      </w:pPr>
      <w:r>
        <w:rPr>
          <w:szCs w:val="24"/>
          <w:vertAlign w:val="superscript"/>
        </w:rPr>
        <w:footnoteRef/>
      </w:r>
      <w:r>
        <w:rPr>
          <w:sz w:val="24"/>
          <w:szCs w:val="24"/>
        </w:rPr>
        <w:t xml:space="preserve"> </w:t>
      </w:r>
      <w:r>
        <w:rPr>
          <w:szCs w:val="24"/>
        </w:rPr>
        <w:t>Gilmore 2007, 88-127</w:t>
      </w:r>
    </w:p>
  </w:footnote>
  <w:footnote w:id="18">
    <w:p w14:paraId="604F3162" w14:textId="77777777" w:rsidR="00AD15E8" w:rsidRDefault="00E70BBA">
      <w:pPr>
        <w:rPr>
          <w:sz w:val="24"/>
          <w:szCs w:val="24"/>
        </w:rPr>
      </w:pPr>
      <w:r>
        <w:rPr>
          <w:szCs w:val="24"/>
          <w:vertAlign w:val="superscript"/>
        </w:rPr>
        <w:footnoteRef/>
      </w:r>
      <w:r>
        <w:rPr>
          <w:sz w:val="24"/>
          <w:szCs w:val="24"/>
        </w:rPr>
        <w:t xml:space="preserve"> </w:t>
      </w:r>
      <w:r>
        <w:rPr>
          <w:szCs w:val="24"/>
        </w:rPr>
        <w:t>Gilmore 2007, 100-101</w:t>
      </w:r>
    </w:p>
  </w:footnote>
  <w:footnote w:id="19">
    <w:p w14:paraId="592654A4" w14:textId="77777777" w:rsidR="00AD15E8" w:rsidRDefault="00E70BBA">
      <w:pPr>
        <w:rPr>
          <w:sz w:val="24"/>
          <w:szCs w:val="24"/>
        </w:rPr>
      </w:pPr>
      <w:r>
        <w:rPr>
          <w:szCs w:val="24"/>
          <w:vertAlign w:val="superscript"/>
        </w:rPr>
        <w:footnoteRef/>
      </w:r>
      <w:r>
        <w:rPr>
          <w:sz w:val="24"/>
          <w:szCs w:val="24"/>
        </w:rPr>
        <w:t xml:space="preserve"> </w:t>
      </w:r>
      <w:r>
        <w:rPr>
          <w:szCs w:val="24"/>
        </w:rPr>
        <w:t>The original EIR evaluated impacts for up to 4,180 inmates on a 400-acre site, however the certified decision only called for 2,200 inmates on 320 acres. See CDC 2000 pg. 1-1; CDC 1994.</w:t>
      </w:r>
    </w:p>
  </w:footnote>
  <w:footnote w:id="20">
    <w:p w14:paraId="2E8A01D4" w14:textId="77777777" w:rsidR="00AD15E8" w:rsidRDefault="00E70BBA">
      <w:pPr>
        <w:rPr>
          <w:sz w:val="24"/>
          <w:szCs w:val="24"/>
        </w:rPr>
      </w:pPr>
      <w:r>
        <w:rPr>
          <w:szCs w:val="24"/>
          <w:vertAlign w:val="superscript"/>
        </w:rPr>
        <w:footnoteRef/>
      </w:r>
      <w:r>
        <w:rPr>
          <w:sz w:val="24"/>
          <w:szCs w:val="24"/>
        </w:rPr>
        <w:t xml:space="preserve"> </w:t>
      </w:r>
      <w:r>
        <w:rPr>
          <w:szCs w:val="24"/>
        </w:rPr>
        <w:t>CEQA Guidelines Section 15105</w:t>
      </w:r>
    </w:p>
  </w:footnote>
  <w:footnote w:id="21">
    <w:p w14:paraId="7F74EB38" w14:textId="77777777" w:rsidR="00AD15E8" w:rsidRDefault="00E70BBA">
      <w:pPr>
        <w:rPr>
          <w:sz w:val="24"/>
          <w:szCs w:val="24"/>
        </w:rPr>
      </w:pPr>
      <w:r>
        <w:rPr>
          <w:szCs w:val="24"/>
          <w:vertAlign w:val="superscript"/>
        </w:rPr>
        <w:footnoteRef/>
      </w:r>
      <w:r>
        <w:rPr>
          <w:sz w:val="24"/>
          <w:szCs w:val="24"/>
        </w:rPr>
        <w:t xml:space="preserve"> </w:t>
      </w:r>
      <w:r>
        <w:rPr>
          <w:szCs w:val="24"/>
        </w:rPr>
        <w:t xml:space="preserve">2000. </w:t>
      </w:r>
      <w:r>
        <w:rPr>
          <w:szCs w:val="24"/>
        </w:rPr>
        <w:t>California Department of Corrections. "Notice of Determination: California State Prison - Kern County at Delano II." SCH No. 1994022069.</w:t>
      </w:r>
    </w:p>
  </w:footnote>
  <w:footnote w:id="22">
    <w:p w14:paraId="4370AEF1" w14:textId="77777777" w:rsidR="00AD15E8" w:rsidRDefault="00E70BBA">
      <w:pPr>
        <w:rPr>
          <w:sz w:val="28"/>
          <w:szCs w:val="24"/>
        </w:rPr>
      </w:pPr>
      <w:r>
        <w:rPr>
          <w:szCs w:val="24"/>
          <w:vertAlign w:val="superscript"/>
        </w:rPr>
        <w:footnoteRef/>
      </w:r>
      <w:r>
        <w:rPr>
          <w:sz w:val="24"/>
          <w:szCs w:val="24"/>
        </w:rPr>
        <w:t xml:space="preserve"> </w:t>
      </w:r>
      <w:r>
        <w:rPr>
          <w:szCs w:val="24"/>
        </w:rPr>
        <w:t xml:space="preserve">There are 9 major U.S. Supreme Court decisions that establish precedent for standing in environmental law (need list </w:t>
      </w:r>
      <w:r>
        <w:rPr>
          <w:szCs w:val="24"/>
        </w:rPr>
        <w:t>and citation).</w:t>
      </w:r>
    </w:p>
  </w:footnote>
  <w:footnote w:id="23">
    <w:p w14:paraId="54F42718" w14:textId="77777777" w:rsidR="00AD15E8" w:rsidRDefault="00E70BBA">
      <w:pPr>
        <w:rPr>
          <w:sz w:val="28"/>
          <w:szCs w:val="24"/>
        </w:rPr>
      </w:pPr>
      <w:r>
        <w:rPr>
          <w:szCs w:val="24"/>
          <w:vertAlign w:val="superscript"/>
        </w:rPr>
        <w:footnoteRef/>
      </w:r>
      <w:r>
        <w:rPr>
          <w:sz w:val="24"/>
          <w:szCs w:val="24"/>
        </w:rPr>
        <w:t xml:space="preserve"> </w:t>
      </w:r>
      <w:r>
        <w:rPr>
          <w:szCs w:val="24"/>
        </w:rPr>
        <w:t xml:space="preserve">This is related to [find the case where the potential for an increase in crime around a </w:t>
      </w:r>
      <w:proofErr w:type="spellStart"/>
      <w:r>
        <w:rPr>
          <w:szCs w:val="24"/>
        </w:rPr>
        <w:t>nyc</w:t>
      </w:r>
      <w:proofErr w:type="spellEnd"/>
      <w:r>
        <w:rPr>
          <w:szCs w:val="24"/>
        </w:rPr>
        <w:t xml:space="preserve"> jail was dismissed]</w:t>
      </w:r>
    </w:p>
  </w:footnote>
  <w:footnote w:id="24">
    <w:p w14:paraId="358CB1DD" w14:textId="77777777" w:rsidR="00AD15E8" w:rsidRDefault="00E70BBA">
      <w:pPr>
        <w:rPr>
          <w:sz w:val="28"/>
          <w:szCs w:val="24"/>
        </w:rPr>
      </w:pPr>
      <w:r>
        <w:rPr>
          <w:szCs w:val="24"/>
          <w:vertAlign w:val="superscript"/>
        </w:rPr>
        <w:footnoteRef/>
      </w:r>
      <w:r>
        <w:rPr>
          <w:sz w:val="24"/>
          <w:szCs w:val="24"/>
        </w:rPr>
        <w:t xml:space="preserve"> </w:t>
      </w:r>
      <w:r>
        <w:rPr>
          <w:szCs w:val="24"/>
        </w:rPr>
        <w:t>Perhaps a legal case could be construed such that a plaintiff representing prisoners and their families did have standing bas</w:t>
      </w:r>
      <w:r>
        <w:rPr>
          <w:szCs w:val="24"/>
        </w:rPr>
        <w:t>ed on impacts to</w:t>
      </w:r>
    </w:p>
  </w:footnote>
  <w:footnote w:id="25">
    <w:p w14:paraId="71904592" w14:textId="77777777" w:rsidR="00AD15E8" w:rsidRDefault="00E70BBA">
      <w:pPr>
        <w:rPr>
          <w:szCs w:val="24"/>
        </w:rPr>
      </w:pPr>
      <w:r>
        <w:rPr>
          <w:szCs w:val="24"/>
          <w:vertAlign w:val="superscript"/>
        </w:rPr>
        <w:footnoteRef/>
      </w:r>
      <w:r>
        <w:rPr>
          <w:sz w:val="24"/>
          <w:szCs w:val="24"/>
        </w:rPr>
        <w:t xml:space="preserve"> </w:t>
      </w:r>
      <w:r>
        <w:rPr>
          <w:szCs w:val="24"/>
        </w:rPr>
        <w:t>CEQA guidelines 15131(a). The Guideline reads as follows:</w:t>
      </w:r>
    </w:p>
    <w:p w14:paraId="46C9ED85" w14:textId="77777777" w:rsidR="00AD15E8" w:rsidRDefault="00E70B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sz w:val="24"/>
          <w:szCs w:val="24"/>
        </w:rPr>
      </w:pPr>
      <w:r>
        <w:rPr>
          <w:szCs w:val="24"/>
        </w:rPr>
        <w:t xml:space="preserve">Economic or social effects of a project shall not be treated as significant effects on the environment. An EIR may trace a chain of cause and effect from a proposed decision on a </w:t>
      </w:r>
      <w:r>
        <w:rPr>
          <w:szCs w:val="24"/>
        </w:rPr>
        <w:t>project through anticipated economic or social changes resulting from the project to physical changes caused in turn by the economic or social changes. The intermediate economic or social changes need not be analyzed in any detail greater than necessary to</w:t>
      </w:r>
      <w:r>
        <w:rPr>
          <w:szCs w:val="24"/>
        </w:rPr>
        <w:t xml:space="preserve"> trace the chain of cause and effect. The focus of the analysis shall be on the physical changes.</w:t>
      </w:r>
    </w:p>
  </w:footnote>
  <w:footnote w:id="26">
    <w:p w14:paraId="4BA9EE58" w14:textId="77777777" w:rsidR="00AD15E8" w:rsidRDefault="00E70BBA">
      <w:pPr>
        <w:rPr>
          <w:szCs w:val="24"/>
        </w:rPr>
      </w:pPr>
      <w:r>
        <w:rPr>
          <w:szCs w:val="24"/>
          <w:vertAlign w:val="superscript"/>
        </w:rPr>
        <w:footnoteRef/>
      </w:r>
      <w:r>
        <w:rPr>
          <w:sz w:val="24"/>
          <w:szCs w:val="24"/>
        </w:rPr>
        <w:t xml:space="preserve"> </w:t>
      </w:r>
      <w:r>
        <w:rPr>
          <w:szCs w:val="24"/>
        </w:rPr>
        <w:t>CEQA guidelines 15131(b-c); 40 CFR 1508.14 - HUMAN ENVIRONMENT.</w:t>
      </w:r>
    </w:p>
    <w:p w14:paraId="51297671" w14:textId="77777777" w:rsidR="00AD15E8" w:rsidRDefault="00E70BBA">
      <w:pPr>
        <w:spacing w:line="288" w:lineRule="auto"/>
        <w:rPr>
          <w:szCs w:val="24"/>
        </w:rPr>
      </w:pPr>
      <w:r>
        <w:rPr>
          <w:szCs w:val="24"/>
        </w:rPr>
        <w:t>Citizens Assn. for Sensible Dev v. County of Inyo, 172 Cal. App. 3d 151 (Court of Appeal, 4t</w:t>
      </w:r>
      <w:r>
        <w:rPr>
          <w:szCs w:val="24"/>
        </w:rPr>
        <w:t>h Appellate Dist., 2nd Div. 1985).</w:t>
      </w:r>
    </w:p>
    <w:p w14:paraId="3EB1AA0A" w14:textId="77777777" w:rsidR="00AD15E8" w:rsidRDefault="00E70BBA">
      <w:pPr>
        <w:spacing w:line="288" w:lineRule="auto"/>
        <w:rPr>
          <w:szCs w:val="24"/>
        </w:rPr>
      </w:pPr>
      <w:r>
        <w:rPr>
          <w:szCs w:val="24"/>
        </w:rPr>
        <w:t xml:space="preserve">Citizens for Quality Growth </w:t>
      </w:r>
      <w:proofErr w:type="gramStart"/>
      <w:r>
        <w:rPr>
          <w:szCs w:val="24"/>
        </w:rPr>
        <w:t>v.</w:t>
      </w:r>
      <w:proofErr w:type="gramEnd"/>
      <w:r>
        <w:rPr>
          <w:szCs w:val="24"/>
        </w:rPr>
        <w:t xml:space="preserve"> City of Mt. Shasta, 198 Cal. App. 3d 433 (Court of Appeal, 3rd Appellate Dist. 1988).</w:t>
      </w:r>
    </w:p>
    <w:p w14:paraId="40D50512" w14:textId="77777777" w:rsidR="00AD15E8" w:rsidRDefault="00E70BBA">
      <w:pPr>
        <w:spacing w:line="288" w:lineRule="auto"/>
        <w:rPr>
          <w:szCs w:val="24"/>
        </w:rPr>
      </w:pPr>
      <w:r>
        <w:rPr>
          <w:szCs w:val="24"/>
        </w:rPr>
        <w:t xml:space="preserve">c.f. Metropolitan Ed. v. People Against Nuclear Energy; Baltimore v. NRDC. Go back and check </w:t>
      </w:r>
      <w:proofErr w:type="spellStart"/>
      <w:r>
        <w:rPr>
          <w:szCs w:val="24"/>
        </w:rPr>
        <w:t>Daffron</w:t>
      </w:r>
      <w:proofErr w:type="spellEnd"/>
      <w:r>
        <w:rPr>
          <w:szCs w:val="24"/>
        </w:rPr>
        <w:t xml:space="preserve"> 197</w:t>
      </w:r>
      <w:r>
        <w:rPr>
          <w:szCs w:val="24"/>
        </w:rPr>
        <w:t xml:space="preserve">5 article further, and </w:t>
      </w:r>
      <w:proofErr w:type="spellStart"/>
      <w:r>
        <w:rPr>
          <w:szCs w:val="24"/>
        </w:rPr>
        <w:t>Fogleman</w:t>
      </w:r>
      <w:proofErr w:type="spellEnd"/>
      <w:r>
        <w:rPr>
          <w:szCs w:val="24"/>
        </w:rPr>
        <w:t xml:space="preserve"> S.3.6.2</w:t>
      </w:r>
    </w:p>
    <w:p w14:paraId="4730494C" w14:textId="77777777" w:rsidR="00AD15E8" w:rsidRDefault="00AD15E8">
      <w:pPr>
        <w:spacing w:line="288" w:lineRule="auto"/>
        <w:rPr>
          <w:szCs w:val="24"/>
        </w:rPr>
      </w:pPr>
    </w:p>
    <w:p w14:paraId="2278C692" w14:textId="77777777" w:rsidR="00AD15E8" w:rsidRDefault="00E70BBA">
      <w:pPr>
        <w:spacing w:line="288" w:lineRule="auto"/>
        <w:rPr>
          <w:szCs w:val="24"/>
        </w:rPr>
      </w:pPr>
      <w:r>
        <w:rPr>
          <w:szCs w:val="24"/>
        </w:rPr>
        <w:t>The Guideline reads as follows:</w:t>
      </w:r>
    </w:p>
    <w:p w14:paraId="0E66A057" w14:textId="77777777" w:rsidR="00AD15E8" w:rsidRDefault="00E70BBA">
      <w:pPr>
        <w:spacing w:line="288" w:lineRule="auto"/>
        <w:rPr>
          <w:szCs w:val="24"/>
        </w:rPr>
      </w:pPr>
      <w:r>
        <w:rPr>
          <w:szCs w:val="24"/>
        </w:rPr>
        <w:t xml:space="preserve">§15131(b): Economic or social effects of a project may be used to determine the significance of physical changes caused by the project. For example, if the construction of a new freeway or rail line divides an existing community, the construction would be </w:t>
      </w:r>
      <w:r>
        <w:rPr>
          <w:szCs w:val="24"/>
        </w:rPr>
        <w:t xml:space="preserve">the physical change, but the social effect on the community would be the basis for determining that the effect would be significant. As an additional example, if the construction of a road and the resulting </w:t>
      </w:r>
      <w:r>
        <w:rPr>
          <w:szCs w:val="24"/>
        </w:rPr>
        <w:tab/>
        <w:t xml:space="preserve">increase in noise in an area disturbed existing </w:t>
      </w:r>
      <w:r>
        <w:rPr>
          <w:szCs w:val="24"/>
        </w:rPr>
        <w:t xml:space="preserve">religious practices in the area, the disturbance of the religious practices could be used to determine that the construction and use of the road and the resulting noise would be significant effects on the environment. The religious practices would need to </w:t>
      </w:r>
      <w:r>
        <w:rPr>
          <w:szCs w:val="24"/>
        </w:rPr>
        <w:t>be analyzed only to the extent to show that the increase in traffic and noise would conflict with the religious practices. Where an EIR uses economic or social effects to determine that a physical change is significant, the EIR shall explain the reason for</w:t>
      </w:r>
      <w:r>
        <w:rPr>
          <w:szCs w:val="24"/>
        </w:rPr>
        <w:t xml:space="preserve"> determining that the effect is significant.</w:t>
      </w:r>
    </w:p>
    <w:p w14:paraId="1221E028" w14:textId="77777777" w:rsidR="00AD15E8" w:rsidRDefault="00E70BBA">
      <w:pPr>
        <w:spacing w:line="288" w:lineRule="auto"/>
        <w:rPr>
          <w:szCs w:val="24"/>
        </w:rPr>
      </w:pPr>
      <w:r>
        <w:rPr>
          <w:szCs w:val="24"/>
        </w:rPr>
        <w:t>§15131(c): Economic, social, and particularly housing factors shall be considered by public agencies together with technological and environmental factors in deciding whether changes in a project are feasible to</w:t>
      </w:r>
      <w:r>
        <w:rPr>
          <w:szCs w:val="24"/>
        </w:rPr>
        <w:t xml:space="preserve"> reduce or avoid the significant effects on the environment identified in the EIR. If information on these factors is not contained in the EIR, the information must be added to the record in some other manner to allow the agency to consider the factors in </w:t>
      </w:r>
      <w:r>
        <w:rPr>
          <w:szCs w:val="24"/>
        </w:rPr>
        <w:t xml:space="preserve">reaching a decision on the </w:t>
      </w:r>
      <w:proofErr w:type="gramStart"/>
      <w:r>
        <w:rPr>
          <w:szCs w:val="24"/>
        </w:rPr>
        <w:t>project.[</w:t>
      </w:r>
      <w:proofErr w:type="gramEnd"/>
      <w:r>
        <w:rPr>
          <w:szCs w:val="24"/>
        </w:rPr>
        <w:t>1]</w:t>
      </w:r>
    </w:p>
    <w:p w14:paraId="38A11B00" w14:textId="77777777" w:rsidR="00AD15E8" w:rsidRDefault="00AD15E8">
      <w:pPr>
        <w:spacing w:line="288" w:lineRule="auto"/>
        <w:rPr>
          <w:szCs w:val="24"/>
        </w:rPr>
      </w:pPr>
    </w:p>
    <w:p w14:paraId="179598E2" w14:textId="77777777" w:rsidR="00AD15E8" w:rsidRDefault="00AD15E8">
      <w:pPr>
        <w:spacing w:line="288" w:lineRule="auto"/>
        <w:rPr>
          <w:szCs w:val="24"/>
        </w:rPr>
      </w:pPr>
    </w:p>
    <w:p w14:paraId="6116CD52" w14:textId="77777777" w:rsidR="00AD15E8" w:rsidRDefault="00E70BBA">
      <w:pPr>
        <w:spacing w:line="288" w:lineRule="auto"/>
        <w:rPr>
          <w:sz w:val="24"/>
          <w:szCs w:val="24"/>
        </w:rPr>
      </w:pPr>
      <w:r>
        <w:rPr>
          <w:szCs w:val="24"/>
        </w:rPr>
        <w:t>[1] CEQA Guidelines Section 15131</w:t>
      </w:r>
    </w:p>
  </w:footnote>
  <w:footnote w:id="27">
    <w:p w14:paraId="42CFBDF9" w14:textId="77777777" w:rsidR="00AD15E8" w:rsidRDefault="00E70BBA">
      <w:pPr>
        <w:rPr>
          <w:szCs w:val="24"/>
        </w:rPr>
      </w:pPr>
      <w:r>
        <w:rPr>
          <w:szCs w:val="24"/>
          <w:vertAlign w:val="superscript"/>
        </w:rPr>
        <w:footnoteRef/>
      </w:r>
      <w:r>
        <w:rPr>
          <w:sz w:val="24"/>
          <w:szCs w:val="24"/>
        </w:rPr>
        <w:t xml:space="preserve"> </w:t>
      </w:r>
      <w:r>
        <w:rPr>
          <w:szCs w:val="24"/>
        </w:rPr>
        <w:t>Friends v. CDC [</w:t>
      </w:r>
      <w:proofErr w:type="spellStart"/>
      <w:r>
        <w:rPr>
          <w:szCs w:val="24"/>
        </w:rPr>
        <w:t>depublished</w:t>
      </w:r>
      <w:proofErr w:type="spellEnd"/>
      <w:r>
        <w:rPr>
          <w:szCs w:val="24"/>
        </w:rPr>
        <w:t>];</w:t>
      </w:r>
    </w:p>
    <w:p w14:paraId="36B7C49C" w14:textId="77777777" w:rsidR="00AD15E8" w:rsidRDefault="00AD15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szCs w:val="24"/>
        </w:rPr>
      </w:pPr>
    </w:p>
    <w:p w14:paraId="42FE75A1" w14:textId="77777777" w:rsidR="00AD15E8" w:rsidRDefault="00E70B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sz w:val="24"/>
          <w:szCs w:val="24"/>
        </w:rPr>
      </w:pPr>
      <w:r>
        <w:rPr>
          <w:szCs w:val="24"/>
        </w:rPr>
        <w:t xml:space="preserve">One might reasonably argue that the water issue raised by the letter in question refers to a physical change in the environment, namely, changes in </w:t>
      </w:r>
      <w:r>
        <w:rPr>
          <w:szCs w:val="24"/>
        </w:rPr>
        <w:t>future groundwater levels due to well pumping to supply the prison with water, which in turn results in an economic effect of the proposed prison. However, the chain of causality in the letter does not actually engage how the physical changes to groundwate</w:t>
      </w:r>
      <w:r>
        <w:rPr>
          <w:szCs w:val="24"/>
        </w:rPr>
        <w:t>r levels or surface water supplies impart economic impacts to SSJMUD or its customers, only that the changes in water usage and allocation would result in potential economic impacts.</w:t>
      </w:r>
    </w:p>
  </w:footnote>
  <w:footnote w:id="28">
    <w:p w14:paraId="36F37CFA" w14:textId="77777777" w:rsidR="00AD15E8" w:rsidRDefault="00E70BBA">
      <w:pPr>
        <w:rPr>
          <w:sz w:val="24"/>
          <w:szCs w:val="24"/>
        </w:rPr>
      </w:pPr>
      <w:r>
        <w:rPr>
          <w:szCs w:val="24"/>
          <w:vertAlign w:val="superscript"/>
        </w:rPr>
        <w:footnoteRef/>
      </w:r>
      <w:r>
        <w:rPr>
          <w:sz w:val="24"/>
          <w:szCs w:val="24"/>
        </w:rPr>
        <w:t xml:space="preserve"> </w:t>
      </w:r>
      <w:r>
        <w:rPr>
          <w:szCs w:val="24"/>
        </w:rPr>
        <w:t>See Safran2004; Bass2014</w:t>
      </w:r>
    </w:p>
  </w:footnote>
  <w:footnote w:id="29">
    <w:p w14:paraId="360E5458" w14:textId="77777777" w:rsidR="00AD15E8" w:rsidRDefault="00E70BBA">
      <w:pPr>
        <w:rPr>
          <w:sz w:val="24"/>
          <w:szCs w:val="24"/>
        </w:rPr>
      </w:pPr>
      <w:r>
        <w:rPr>
          <w:szCs w:val="24"/>
          <w:vertAlign w:val="superscript"/>
        </w:rPr>
        <w:footnoteRef/>
      </w:r>
      <w:r>
        <w:rPr>
          <w:sz w:val="24"/>
          <w:szCs w:val="24"/>
        </w:rPr>
        <w:t xml:space="preserve"> </w:t>
      </w:r>
      <w:r>
        <w:rPr>
          <w:szCs w:val="24"/>
        </w:rPr>
        <w:t>Cite published case, also maybe the docket r</w:t>
      </w:r>
      <w:r>
        <w:rPr>
          <w:szCs w:val="24"/>
        </w:rPr>
        <w:t>ecord?</w:t>
      </w:r>
    </w:p>
  </w:footnote>
  <w:footnote w:id="30">
    <w:p w14:paraId="5EC67F6C" w14:textId="77777777" w:rsidR="00AD15E8" w:rsidRDefault="00E70BBA">
      <w:pPr>
        <w:rPr>
          <w:sz w:val="24"/>
          <w:szCs w:val="24"/>
        </w:rPr>
      </w:pPr>
      <w:r>
        <w:rPr>
          <w:szCs w:val="24"/>
          <w:vertAlign w:val="superscript"/>
        </w:rPr>
        <w:footnoteRef/>
      </w:r>
      <w:r>
        <w:rPr>
          <w:sz w:val="24"/>
          <w:szCs w:val="24"/>
        </w:rPr>
        <w:t xml:space="preserve"> </w:t>
      </w:r>
      <w:r>
        <w:rPr>
          <w:szCs w:val="24"/>
        </w:rPr>
        <w:t>e.g., Safran2004; Bass2014; Meserve2011</w:t>
      </w:r>
    </w:p>
  </w:footnote>
  <w:footnote w:id="31">
    <w:p w14:paraId="001328B5" w14:textId="77777777" w:rsidR="00AD15E8" w:rsidRDefault="00E70BBA">
      <w:pPr>
        <w:rPr>
          <w:sz w:val="24"/>
          <w:szCs w:val="24"/>
        </w:rPr>
      </w:pPr>
      <w:r>
        <w:rPr>
          <w:szCs w:val="24"/>
          <w:vertAlign w:val="superscript"/>
        </w:rPr>
        <w:footnoteRef/>
      </w:r>
      <w:r>
        <w:rPr>
          <w:sz w:val="24"/>
          <w:szCs w:val="24"/>
        </w:rPr>
        <w:t xml:space="preserve"> </w:t>
      </w:r>
      <w:r>
        <w:rPr>
          <w:szCs w:val="24"/>
        </w:rPr>
        <w:t>Bass2014</w:t>
      </w:r>
    </w:p>
  </w:footnote>
  <w:footnote w:id="32">
    <w:p w14:paraId="7A0D4C64" w14:textId="77777777" w:rsidR="00AD15E8" w:rsidRDefault="00E70BBA">
      <w:pPr>
        <w:rPr>
          <w:sz w:val="24"/>
          <w:szCs w:val="24"/>
        </w:rPr>
      </w:pPr>
      <w:r>
        <w:rPr>
          <w:szCs w:val="24"/>
          <w:vertAlign w:val="superscript"/>
        </w:rPr>
        <w:footnoteRef/>
      </w:r>
      <w:r>
        <w:rPr>
          <w:sz w:val="24"/>
          <w:szCs w:val="24"/>
        </w:rPr>
        <w:t xml:space="preserve"> </w:t>
      </w:r>
      <w:r>
        <w:rPr>
          <w:szCs w:val="24"/>
        </w:rPr>
        <w:t xml:space="preserve">Friends of the Kangaroo Rat v. California Department of Corrections, 4 Cal. </w:t>
      </w:r>
      <w:proofErr w:type="spellStart"/>
      <w:r>
        <w:rPr>
          <w:szCs w:val="24"/>
        </w:rPr>
        <w:t>Rptr</w:t>
      </w:r>
      <w:proofErr w:type="spellEnd"/>
      <w:r>
        <w:rPr>
          <w:szCs w:val="24"/>
        </w:rPr>
        <w:t>. 3d 558 (Court of Appeal, 5th Appellate Dist. 2003).</w:t>
      </w:r>
    </w:p>
  </w:footnote>
  <w:footnote w:id="33">
    <w:p w14:paraId="6B3891B6" w14:textId="77777777" w:rsidR="00AD15E8" w:rsidRDefault="00E70BBA">
      <w:pPr>
        <w:rPr>
          <w:sz w:val="24"/>
          <w:szCs w:val="24"/>
        </w:rPr>
      </w:pPr>
      <w:r>
        <w:rPr>
          <w:szCs w:val="24"/>
          <w:vertAlign w:val="superscript"/>
        </w:rPr>
        <w:footnoteRef/>
      </w:r>
      <w:r>
        <w:rPr>
          <w:sz w:val="24"/>
          <w:szCs w:val="24"/>
        </w:rPr>
        <w:t xml:space="preserve"> </w:t>
      </w:r>
      <w:r>
        <w:rPr>
          <w:szCs w:val="24"/>
        </w:rPr>
        <w:t xml:space="preserve">Rose </w:t>
      </w:r>
      <w:proofErr w:type="spellStart"/>
      <w:r>
        <w:rPr>
          <w:szCs w:val="24"/>
        </w:rPr>
        <w:t>Braz</w:t>
      </w:r>
      <w:proofErr w:type="spellEnd"/>
      <w:r>
        <w:rPr>
          <w:szCs w:val="24"/>
        </w:rPr>
        <w:t xml:space="preserve"> and Craig Gilmore, “Joining Forces: Prisons and Environmental Justice in Recent California Organizing,” </w:t>
      </w:r>
      <w:r>
        <w:rPr>
          <w:i/>
          <w:szCs w:val="24"/>
        </w:rPr>
        <w:t>Radical History Review</w:t>
      </w:r>
      <w:r>
        <w:rPr>
          <w:szCs w:val="24"/>
        </w:rPr>
        <w:t xml:space="preserve"> Fall, no. 96 (October 2006): 95–111, doi:10.1215/01636545-2006-006.</w:t>
      </w:r>
    </w:p>
  </w:footnote>
  <w:footnote w:id="34">
    <w:p w14:paraId="743AE4A1" w14:textId="77777777" w:rsidR="00AD15E8" w:rsidRDefault="00E70BBA">
      <w:pPr>
        <w:rPr>
          <w:sz w:val="28"/>
          <w:szCs w:val="24"/>
        </w:rPr>
      </w:pPr>
      <w:r>
        <w:rPr>
          <w:szCs w:val="24"/>
          <w:vertAlign w:val="superscript"/>
        </w:rPr>
        <w:footnoteRef/>
      </w:r>
      <w:r>
        <w:rPr>
          <w:sz w:val="24"/>
          <w:szCs w:val="24"/>
        </w:rPr>
        <w:t xml:space="preserve"> </w:t>
      </w:r>
      <w:r>
        <w:rPr>
          <w:szCs w:val="24"/>
        </w:rPr>
        <w:t>In the state level California Environmental Quali</w:t>
      </w:r>
      <w:r>
        <w:rPr>
          <w:szCs w:val="24"/>
        </w:rPr>
        <w:t>ty Act (CEQA), the ROD is replaced by the equivalent Notice of Determination (NOD).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FAA3F" w14:textId="77777777" w:rsidR="00AD15E8" w:rsidRDefault="00E70BBA">
    <w:pPr>
      <w:tabs>
        <w:tab w:val="right" w:pos="9360"/>
      </w:tabs>
      <w:rPr>
        <w:sz w:val="24"/>
        <w:szCs w:val="24"/>
      </w:rPr>
    </w:pPr>
    <w:r>
      <w:rPr>
        <w:sz w:val="24"/>
        <w:szCs w:val="24"/>
      </w:rPr>
      <w:t>Miyake</w:t>
    </w:r>
    <w:r>
      <w:rPr>
        <w:sz w:val="24"/>
        <w:szCs w:val="24"/>
      </w:rPr>
      <w:tab/>
    </w:r>
    <w:r>
      <w:rPr>
        <w:sz w:val="24"/>
        <w:szCs w:val="24"/>
      </w:rPr>
      <w:fldChar w:fldCharType="begin"/>
    </w:r>
    <w:r>
      <w:rPr>
        <w:sz w:val="24"/>
        <w:szCs w:val="24"/>
      </w:rPr>
      <w:instrText>PAGE</w:instrText>
    </w:r>
    <w:r>
      <w:rPr>
        <w:sz w:val="24"/>
        <w:szCs w:val="24"/>
      </w:rPr>
      <w:fldChar w:fldCharType="separate"/>
    </w:r>
    <w:r w:rsidR="00FA5329">
      <w:rPr>
        <w:noProof/>
        <w:sz w:val="24"/>
        <w:szCs w:val="24"/>
      </w:rPr>
      <w:t>38</w:t>
    </w:r>
    <w:r>
      <w:rPr>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15E8"/>
    <w:rsid w:val="00AD15E8"/>
    <w:rsid w:val="00E70BBA"/>
    <w:rsid w:val="00FA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25B1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pPr>
      <w:autoSpaceDE w:val="0"/>
      <w:autoSpaceDN w:val="0"/>
      <w:adjustRightInd w:val="0"/>
    </w:pPr>
  </w:style>
  <w:style w:type="character" w:customStyle="1" w:styleId="Default">
    <w:name w:val="Default"/>
    <w:uiPriority w:val="99"/>
  </w:style>
  <w:style w:type="character" w:styleId="Hyperlink">
    <w:name w:val="Hyperlink"/>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ceqanet.ca.gov/NODdescription.asp?DocPK=140208" TargetMode="External"/><Relationship Id="rId4" Type="http://schemas.openxmlformats.org/officeDocument/2006/relationships/hyperlink" Target="http://www.lao.ca.gov/analysis_1995/part1.html" TargetMode="External"/><Relationship Id="rId5" Type="http://schemas.openxmlformats.org/officeDocument/2006/relationships/hyperlink" Target="https://www.rand.org/content/dam/rand/pubs/monograph_reports/2006/MR179.pdf" TargetMode="External"/><Relationship Id="rId6" Type="http://schemas.openxmlformats.org/officeDocument/2006/relationships/hyperlink" Target="http://www.lao.ca.gov/analysis_1995/part4-B.html" TargetMode="External"/><Relationship Id="rId7" Type="http://schemas.openxmlformats.org/officeDocument/2006/relationships/hyperlink" Target="http://www.lao.ca.gov/1999/99_budget_features.html" TargetMode="External"/><Relationship Id="rId8" Type="http://schemas.openxmlformats.org/officeDocument/2006/relationships/hyperlink" Target="http://www.leginfo.ca.gov/guide.html" TargetMode="External"/><Relationship Id="rId9" Type="http://schemas.openxmlformats.org/officeDocument/2006/relationships/hyperlink" Target="http://www.dof.ca.gov/fisa/bag/process.htm" TargetMode="External"/><Relationship Id="rId1" Type="http://schemas.openxmlformats.org/officeDocument/2006/relationships/hyperlink" Target="http://factfinder.census.gov/faces/tableservices/jsf/pages/productview.xhtml?src=CF" TargetMode="External"/><Relationship Id="rId2" Type="http://schemas.openxmlformats.org/officeDocument/2006/relationships/hyperlink" Target="http://www.ceqanet.ca.gov/DocDescription.asp?DocPK=44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10307</Words>
  <Characters>58752</Characters>
  <Application>Microsoft Macintosh Word</Application>
  <DocSecurity>0</DocSecurity>
  <Lines>489</Lines>
  <Paragraphs>137</Paragraphs>
  <ScaleCrop>false</ScaleCrop>
  <Company/>
  <LinksUpToDate>false</LinksUpToDate>
  <CharactersWithSpaces>68922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Institutionalizing Envrionmental Justice</dc:title>
  <dc:creator>Keith K. Miyake</dc:creator>
  <cp:lastModifiedBy>Keith Miyake</cp:lastModifiedBy>
  <cp:revision>1</cp:revision>
  <cp:lastPrinted>2016-01-27T15:58:00Z</cp:lastPrinted>
  <dcterms:created xsi:type="dcterms:W3CDTF">2016-01-27T10:54:00Z</dcterms:created>
  <dcterms:modified xsi:type="dcterms:W3CDTF">2016-01-27T15:58:00Z</dcterms:modified>
</cp:coreProperties>
</file>