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p>
    <w:p>
      <w:pPr>
        <w:jc w:val="center"/>
      </w:pPr>
      <w:r>
        <w:rPr>
          <w:b/>
          <w:color w:val="0891B2"/>
          <w:sz w:val="22"/>
        </w:rPr>
        <w:t>PREVIEW KONTEN HTML DEMO</w:t>
      </w:r>
    </w:p>
    <w:p>
      <w:pPr>
        <w:jc w:val="center"/>
      </w:pPr>
      <w:r>
        <w:rPr>
          <w:b/>
          <w:color w:val="1E3A5F"/>
          <w:sz w:val="44"/>
        </w:rPr>
        <w:t>Output Simulasi Scoping Review</w:t>
      </w:r>
    </w:p>
    <w:p>
      <w:pPr>
        <w:jc w:val="center"/>
      </w:pPr>
      <w:r>
        <w:rPr>
          <w:color w:val="1E3A5F"/>
          <w:sz w:val="28"/>
        </w:rPr>
        <w:t>Mekanisme Modulasi Neuroinflamasi Vitamin D</w:t>
        <w:br/>
        <w:t>Sebagai Terapi Adjuvan Pada Pasien MDD Dewasa</w:t>
      </w:r>
    </w:p>
    <w:p/>
    <w:p>
      <w:pPr>
        <w:jc w:val="center"/>
      </w:pPr>
      <w:r>
        <w:rPr>
          <w:i/>
          <w:color w:val="64748B"/>
          <w:sz w:val="21"/>
        </w:rPr>
        <w:t>Scoping Review  ·  Protokol JBI 2024  ·  PRISMA-ScR</w:t>
      </w:r>
    </w:p>
    <w:p/>
    <w:p>
      <w:pPr>
        <w:jc w:val="center"/>
      </w:pPr>
      <w:r>
        <w:rPr>
          <w:color w:val="1E293B"/>
          <w:sz w:val="21"/>
        </w:rPr>
        <w:t>Habib 'Arsy Tritura Ebsyar  ·  NIM G1A122128</w:t>
        <w:br/>
        <w:t>FKIK  ·  Program Studi Pendidikan Dokter  ·  Universitas Jambi</w:t>
      </w:r>
    </w:p>
    <w:p>
      <w:r>
        <w:br/>
        <w:br/>
      </w:r>
    </w:p>
    <w:p>
      <w:pPr>
        <w:jc w:val="center"/>
      </w:pPr>
      <w:r>
        <w:rPr>
          <w:i/>
          <w:color w:val="64748B"/>
          <w:sz w:val="19"/>
        </w:rPr>
        <w:t>Dokumen ini merupakan preview konten yang akan ditampilkan</w:t>
        <w:br/>
        <w:t>dalam HTML Demo Interaktif untuk Presentasi Seminar Proposal Tahap 2</w:t>
      </w:r>
    </w:p>
    <w:p>
      <w:r>
        <w:br w:type="page"/>
      </w:r>
    </w:p>
    <w:p>
      <w:pPr>
        <w:pStyle w:val="Heading1"/>
        <w:jc w:val="left"/>
      </w:pPr>
      <w:r>
        <w:rPr>
          <w:color w:val="1E3A5F"/>
          <w:sz w:val="32"/>
        </w:rPr>
        <w:t>PENGANTAR DOKUMEN</w:t>
      </w:r>
    </w:p>
    <w:p>
      <w:r>
        <w:rPr>
          <w:b w:val="0"/>
          <w:i w:val="0"/>
          <w:sz w:val="21"/>
        </w:rPr>
        <w:t xml:space="preserve">Dokumen ini berisi seluruh konten data, teks, dan struktur tabel yang akan ditampilkan dalam HTML Demo interaktif. HTML Demo dirancang untuk dipresentasikan dalam </w:t>
      </w:r>
      <w:r>
        <w:rPr>
          <w:b/>
          <w:i w:val="0"/>
          <w:color w:val="1E3A5F"/>
          <w:sz w:val="21"/>
        </w:rPr>
        <w:t>4–5 menit</w:t>
      </w:r>
      <w:r>
        <w:rPr>
          <w:b w:val="0"/>
          <w:i w:val="0"/>
          <w:sz w:val="21"/>
        </w:rPr>
        <w:t xml:space="preserve"> sebagai presentasi tambahan (additional) pada Seminar Proposal Tahap 2, setelah presentasi utama selesai.</w:t>
      </w:r>
    </w:p>
    <w:p/>
    <w:p>
      <w:r>
        <w:rPr>
          <w:b w:val="0"/>
          <w:i w:val="0"/>
          <w:sz w:val="21"/>
        </w:rPr>
        <w:t xml:space="preserve">HTML Demo terdiri dari </w:t>
      </w:r>
      <w:r>
        <w:rPr>
          <w:b/>
          <w:i w:val="0"/>
          <w:color w:val="1E3A5F"/>
          <w:sz w:val="21"/>
        </w:rPr>
        <w:t>6 section</w:t>
      </w:r>
      <w:r>
        <w:rPr>
          <w:b w:val="0"/>
          <w:i w:val="0"/>
          <w:sz w:val="21"/>
        </w:rPr>
        <w:t xml:space="preserve"> yang dinavigasi secara linear (tombol Selanjutnya / Sebelumnya / keyboard arrow):</w:t>
      </w:r>
    </w:p>
    <w:p>
      <w:pPr>
        <w:pStyle w:val="ListBullet"/>
      </w:pPr>
      <w:r>
        <w:rPr>
          <w:b/>
          <w:i w:val="0"/>
          <w:color w:val="0891B2"/>
          <w:sz w:val="21"/>
        </w:rPr>
        <w:t xml:space="preserve">LANDING:  </w:t>
      </w:r>
      <w:r>
        <w:rPr>
          <w:b w:val="0"/>
          <w:i w:val="0"/>
          <w:sz w:val="21"/>
        </w:rPr>
        <w:t>Halaman pembuka — judul, nama, tombol mulai demo</w:t>
      </w:r>
    </w:p>
    <w:p>
      <w:pPr>
        <w:pStyle w:val="ListBullet"/>
      </w:pPr>
      <w:r>
        <w:rPr>
          <w:b/>
          <w:i w:val="0"/>
          <w:color w:val="0891B2"/>
          <w:sz w:val="21"/>
        </w:rPr>
        <w:t xml:space="preserve">OUTPUT 1/5 — PRISMA-ScR:  </w:t>
      </w:r>
      <w:r>
        <w:rPr>
          <w:b w:val="0"/>
          <w:i w:val="0"/>
          <w:sz w:val="21"/>
        </w:rPr>
        <w:t>Alur seleksi literatur dengan angka nyata</w:t>
      </w:r>
    </w:p>
    <w:p>
      <w:pPr>
        <w:pStyle w:val="ListBullet"/>
      </w:pPr>
      <w:r>
        <w:rPr>
          <w:b/>
          <w:i w:val="0"/>
          <w:color w:val="0891B2"/>
          <w:sz w:val="21"/>
        </w:rPr>
        <w:t xml:space="preserve">OUTPUT 2/5 — TABEL STUDI:  </w:t>
      </w:r>
      <w:r>
        <w:rPr>
          <w:b w:val="0"/>
          <w:i w:val="0"/>
          <w:sz w:val="21"/>
        </w:rPr>
        <w:t>Karakteristik 10 studi terinklusi, dapat difilter</w:t>
      </w:r>
    </w:p>
    <w:p>
      <w:pPr>
        <w:pStyle w:val="ListBullet"/>
      </w:pPr>
      <w:r>
        <w:rPr>
          <w:b/>
          <w:i w:val="0"/>
          <w:color w:val="0891B2"/>
          <w:sz w:val="21"/>
        </w:rPr>
        <w:t xml:space="preserve">OUTPUT 3/5 — VISUALISASI:  </w:t>
      </w:r>
      <w:r>
        <w:rPr>
          <w:b w:val="0"/>
          <w:i w:val="0"/>
          <w:sz w:val="21"/>
        </w:rPr>
        <w:t>2 chart: distribusi biomarker &amp; timeline publikasi</w:t>
      </w:r>
    </w:p>
    <w:p>
      <w:pPr>
        <w:pStyle w:val="ListBullet"/>
      </w:pPr>
      <w:r>
        <w:rPr>
          <w:b/>
          <w:i w:val="0"/>
          <w:color w:val="0891B2"/>
          <w:sz w:val="21"/>
        </w:rPr>
        <w:t xml:space="preserve">OUTPUT 4/5 — EVIDENCE GAP MATRIX:  </w:t>
      </w:r>
      <w:r>
        <w:rPr>
          <w:b w:val="0"/>
          <w:i w:val="0"/>
          <w:sz w:val="21"/>
        </w:rPr>
        <w:t>Matriks kesenjangan bukti (kontribusi utama penelitian)</w:t>
      </w:r>
    </w:p>
    <w:p>
      <w:pPr>
        <w:pStyle w:val="ListBullet"/>
      </w:pPr>
      <w:r>
        <w:rPr>
          <w:b/>
          <w:i w:val="0"/>
          <w:color w:val="0891B2"/>
          <w:sz w:val="21"/>
        </w:rPr>
        <w:t xml:space="preserve">OUTPUT 5/5 — SINTESIS:  </w:t>
      </w:r>
      <w:r>
        <w:rPr>
          <w:b w:val="0"/>
          <w:i w:val="0"/>
          <w:sz w:val="21"/>
        </w:rPr>
        <w:t>3 temuan utama + 3 knowledge gap + penutup</w:t>
      </w:r>
    </w:p>
    <w:p>
      <w:r>
        <w:br w:type="page"/>
      </w:r>
    </w:p>
    <w:p>
      <w:pPr>
        <w:pStyle w:val="Heading1"/>
        <w:jc w:val="left"/>
      </w:pPr>
      <w:r>
        <w:rPr>
          <w:color w:val="1E3A5F"/>
          <w:sz w:val="32"/>
        </w:rPr>
        <w:t>SECTION 0 — LANDING PAGE</w:t>
      </w:r>
    </w:p>
    <w:p/>
    <w:p>
      <w:pPr>
        <w:jc w:val="left"/>
      </w:pPr>
      <w:r>
        <w:rPr>
          <w:b/>
          <w:color w:val="0891B2"/>
          <w:sz w:val="20"/>
        </w:rPr>
        <w:t>─────  Konten yang Tampil di Layar  ─────</w:t>
      </w:r>
    </w:p>
    <w:p/>
    <w:p>
      <w:r>
        <w:rPr>
          <w:b/>
          <w:i w:val="0"/>
          <w:color w:val="0891B2"/>
          <w:sz w:val="20"/>
        </w:rPr>
        <w:t>Label atas (kecil, uppercase):</w:t>
        <w:br/>
      </w:r>
      <w:r>
        <w:rPr>
          <w:b w:val="0"/>
          <w:i/>
          <w:color w:val="64748B"/>
          <w:sz w:val="20"/>
        </w:rPr>
        <w:t>DEMO OUTPUT  ·  SEMINAR PROPOSAL SKRIPSI</w:t>
      </w:r>
    </w:p>
    <w:p/>
    <w:p>
      <w:r>
        <w:rPr>
          <w:b/>
          <w:i w:val="0"/>
          <w:color w:val="0891B2"/>
          <w:sz w:val="20"/>
        </w:rPr>
        <w:t>Judul utama:</w:t>
        <w:br/>
      </w:r>
      <w:r>
        <w:rPr>
          <w:b w:val="0"/>
          <w:i w:val="0"/>
          <w:color w:val="1E3A5F"/>
          <w:sz w:val="28"/>
        </w:rPr>
        <w:t>Mekanisme Modulasi Neuroinflamasi Vitamin D</w:t>
        <w:br/>
        <w:t>Sebagai Terapi Adjuvan Pada Pasien MDD Dewasa</w:t>
      </w:r>
    </w:p>
    <w:p/>
    <w:p>
      <w:r>
        <w:rPr>
          <w:b/>
          <w:i w:val="0"/>
          <w:color w:val="0891B2"/>
          <w:sz w:val="20"/>
        </w:rPr>
        <w:t>Sub-label:</w:t>
        <w:br/>
      </w:r>
      <w:r>
        <w:rPr>
          <w:b w:val="0"/>
          <w:i/>
          <w:color w:val="64748B"/>
          <w:sz w:val="20"/>
        </w:rPr>
        <w:t>Scoping Review  ·  Protokol JBI 2024  ·  Pelaporan PRISMA-ScR</w:t>
      </w:r>
    </w:p>
    <w:p/>
    <w:p>
      <w:r>
        <w:rPr>
          <w:b/>
          <w:i w:val="0"/>
          <w:color w:val="0891B2"/>
          <w:sz w:val="20"/>
        </w:rPr>
        <w:t>Identitas:</w:t>
        <w:br/>
      </w:r>
      <w:r>
        <w:rPr>
          <w:b w:val="0"/>
          <w:i w:val="0"/>
          <w:color w:val="1E293B"/>
          <w:sz w:val="20"/>
        </w:rPr>
        <w:t>Habib 'Arsy Tritura Ebsyar  ·  NIM G1A122128  ·  FKIK UNJA</w:t>
      </w:r>
    </w:p>
    <w:p/>
    <w:p>
      <w:r>
        <w:rPr>
          <w:b/>
          <w:i w:val="0"/>
          <w:color w:val="0891B2"/>
          <w:sz w:val="20"/>
        </w:rPr>
        <w:t>Tombol utama:</w:t>
        <w:br/>
      </w:r>
      <w:r>
        <w:rPr>
          <w:b w:val="0"/>
          <w:i w:val="0"/>
          <w:sz w:val="21"/>
        </w:rPr>
        <w:t>[ ▶  Mulai Demo Output Penelitian ]  ← tombol navy besar, klik untuk masuk ke Section 1</w:t>
      </w:r>
    </w:p>
    <w:p/>
    <w:p>
      <w:r>
        <w:rPr>
          <w:b/>
          <w:i w:val="0"/>
          <w:color w:val="0891B2"/>
          <w:sz w:val="20"/>
        </w:rPr>
        <w:t>Keterangan keyboard (sangat kecil, bawah layar):</w:t>
        <w:br/>
      </w:r>
      <w:r>
        <w:rPr>
          <w:b w:val="0"/>
          <w:i/>
          <w:color w:val="64748B"/>
          <w:sz w:val="18"/>
        </w:rPr>
        <w:t>Navigasi: tombol → untuk maju  ·  ← untuk mundur  ·  klik titik navigasi untuk lompat</w:t>
      </w:r>
    </w:p>
    <w:p>
      <w:r>
        <w:br w:type="page"/>
      </w:r>
    </w:p>
    <w:p>
      <w:pPr>
        <w:pStyle w:val="Heading1"/>
        <w:jc w:val="left"/>
      </w:pPr>
      <w:r>
        <w:rPr>
          <w:color w:val="1E3A5F"/>
          <w:sz w:val="32"/>
        </w:rPr>
        <w:t>SECTION 1 — OUTPUT 1/5: PRISMA-ScR FLOW DIAGRAM</w:t>
      </w:r>
    </w:p>
    <w:p/>
    <w:p>
      <w:pPr>
        <w:jc w:val="left"/>
      </w:pPr>
      <w:r>
        <w:rPr>
          <w:b/>
          <w:color w:val="0891B2"/>
          <w:sz w:val="20"/>
        </w:rPr>
        <w:t>─────  Label Header Section  ─────</w:t>
      </w:r>
    </w:p>
    <w:p/>
    <w:p>
      <w:r>
        <w:rPr>
          <w:b/>
          <w:i w:val="0"/>
          <w:color w:val="1E3A5F"/>
          <w:sz w:val="21"/>
        </w:rPr>
        <w:t xml:space="preserve">Judul section:  </w:t>
      </w:r>
      <w:r>
        <w:rPr>
          <w:b w:val="0"/>
          <w:i w:val="0"/>
          <w:sz w:val="21"/>
        </w:rPr>
        <w:t>Alur Seleksi Literatur (PRISMA-ScR)</w:t>
      </w:r>
    </w:p>
    <w:p>
      <w:r>
        <w:rPr>
          <w:b/>
          <w:i w:val="0"/>
          <w:color w:val="1E3A5F"/>
          <w:sz w:val="21"/>
        </w:rPr>
        <w:t xml:space="preserve">Sub-keterangan:  </w:t>
      </w:r>
      <w:r>
        <w:rPr>
          <w:b w:val="0"/>
          <w:i/>
          <w:color w:val="64748B"/>
          <w:sz w:val="20"/>
        </w:rPr>
        <w:t>Preferred Reporting Items for Systematic reviews and Meta-Analyses — extension for Scoping Reviews</w:t>
      </w:r>
    </w:p>
    <w:p/>
    <w:p>
      <w:pPr>
        <w:jc w:val="left"/>
      </w:pPr>
      <w:r>
        <w:rPr>
          <w:b/>
          <w:color w:val="0891B2"/>
          <w:sz w:val="20"/>
        </w:rPr>
        <w:t>─────  Data Angka PRISMA-ScR Flow  ─────</w:t>
      </w:r>
    </w:p>
    <w:p/>
    <w:tbl>
      <w:tblPr>
        <w:tblStyle w:val="TableGrid"/>
        <w:tblW w:type="auto" w:w="0"/>
        <w:jc w:val="center"/>
        <w:tblLook w:firstColumn="1" w:firstRow="1" w:lastColumn="0" w:lastRow="0" w:noHBand="0" w:noVBand="1" w:val="04A0"/>
      </w:tblPr>
      <w:tblGrid>
        <w:gridCol w:w="2268"/>
        <w:gridCol w:w="3402"/>
        <w:gridCol w:w="4252"/>
      </w:tblGrid>
      <w:tr>
        <w:tc>
          <w:tcPr>
            <w:tcW w:type="dxa" w:w="3024"/>
            <w:shd w:val="clear" w:color="auto" w:fill="1E3A5F"/>
          </w:tcPr>
          <w:p>
            <w:pPr>
              <w:jc w:val="center"/>
            </w:pPr>
            <w:r>
              <w:rPr>
                <w:b/>
                <w:color w:val="FFFFFF"/>
                <w:sz w:val="20"/>
              </w:rPr>
              <w:t>FASE</w:t>
            </w:r>
          </w:p>
        </w:tc>
        <w:tc>
          <w:tcPr>
            <w:tcW w:type="dxa" w:w="3024"/>
            <w:shd w:val="clear" w:color="auto" w:fill="1E3A5F"/>
          </w:tcPr>
          <w:p>
            <w:pPr>
              <w:jc w:val="center"/>
            </w:pPr>
            <w:r>
              <w:rPr>
                <w:b/>
                <w:color w:val="FFFFFF"/>
                <w:sz w:val="20"/>
              </w:rPr>
              <w:t>ANGKA</w:t>
            </w:r>
          </w:p>
        </w:tc>
        <w:tc>
          <w:tcPr>
            <w:tcW w:type="dxa" w:w="3024"/>
            <w:shd w:val="clear" w:color="auto" w:fill="1E3A5F"/>
          </w:tcPr>
          <w:p>
            <w:pPr>
              <w:jc w:val="center"/>
            </w:pPr>
            <w:r>
              <w:rPr>
                <w:b/>
                <w:color w:val="FFFFFF"/>
                <w:sz w:val="20"/>
              </w:rPr>
              <w:t>KETERANGAN</w:t>
            </w:r>
          </w:p>
        </w:tc>
      </w:tr>
      <w:tr>
        <w:tc>
          <w:tcPr>
            <w:tcW w:type="dxa" w:w="3024"/>
            <w:shd w:val="clear" w:color="auto" w:fill="FFFFFF"/>
          </w:tcPr>
          <w:p>
            <w:pPr>
              <w:jc w:val="center"/>
            </w:pPr>
            <w:r>
              <w:rPr>
                <w:b/>
                <w:color w:val="1E3A5F"/>
                <w:sz w:val="19"/>
              </w:rPr>
              <w:t>IDENTIFIKASI</w:t>
            </w:r>
          </w:p>
        </w:tc>
        <w:tc>
          <w:tcPr>
            <w:tcW w:type="dxa" w:w="3024"/>
            <w:shd w:val="clear" w:color="auto" w:fill="FFFFFF"/>
          </w:tcPr>
          <w:p>
            <w:r>
              <w:rPr>
                <w:color w:val="1E293B"/>
                <w:sz w:val="18"/>
              </w:rPr>
              <w:t>PubMed/PMC     : 187 artikel</w:t>
              <w:br/>
              <w:t>Scopus         : 163 artikel</w:t>
              <w:br/>
              <w:t>Europe PMC     : 118 artikel</w:t>
              <w:br/>
              <w:t>TOTAL HIT      : 468 artikel</w:t>
            </w:r>
          </w:p>
        </w:tc>
        <w:tc>
          <w:tcPr>
            <w:tcW w:type="dxa" w:w="3024"/>
            <w:shd w:val="clear" w:color="auto" w:fill="FFFFFF"/>
          </w:tcPr>
          <w:p>
            <w:r>
              <w:rPr>
                <w:i/>
                <w:color w:val="64748B"/>
                <w:sz w:val="17"/>
              </w:rPr>
              <w:t>MeSH terms diterapkan pada PubMed.</w:t>
              <w:br/>
              <w:t>Filter: 2020–2026, Humans, English/Indonesian.</w:t>
              <w:br/>
              <w:t>Duplikat lintas-database diekspor ke Mendeley.</w:t>
            </w:r>
          </w:p>
        </w:tc>
      </w:tr>
      <w:tr>
        <w:tc>
          <w:tcPr>
            <w:tcW w:type="dxa" w:w="3024"/>
            <w:shd w:val="clear" w:color="auto" w:fill="F8FAFC"/>
          </w:tcPr>
          <w:p>
            <w:pPr>
              <w:jc w:val="center"/>
            </w:pPr>
            <w:r>
              <w:rPr>
                <w:b/>
                <w:color w:val="1E3A5F"/>
                <w:sz w:val="19"/>
              </w:rPr>
              <w:t>SETELAH DEDUPLIKASI</w:t>
            </w:r>
          </w:p>
        </w:tc>
        <w:tc>
          <w:tcPr>
            <w:tcW w:type="dxa" w:w="3024"/>
            <w:shd w:val="clear" w:color="auto" w:fill="F8FAFC"/>
          </w:tcPr>
          <w:p>
            <w:r>
              <w:rPr>
                <w:color w:val="1E293B"/>
                <w:sz w:val="18"/>
              </w:rPr>
              <w:t>Duplikat teridentifikasi : 158 rekaman</w:t>
              <w:br/>
              <w:t>Rekaman unik tersisa     : 310 rekaman</w:t>
            </w:r>
          </w:p>
        </w:tc>
        <w:tc>
          <w:tcPr>
            <w:tcW w:type="dxa" w:w="3024"/>
            <w:shd w:val="clear" w:color="auto" w:fill="F8FAFC"/>
          </w:tcPr>
          <w:p>
            <w:r>
              <w:rPr>
                <w:i/>
                <w:color w:val="64748B"/>
                <w:sz w:val="17"/>
              </w:rPr>
              <w:t>Deduplikasi otomatis via Mendeley,</w:t>
              <w:br/>
              <w:t>dilanjutkan deduplikasi manual berbasis</w:t>
              <w:br/>
              <w:t>judul di spreadsheet Excel.</w:t>
            </w:r>
          </w:p>
        </w:tc>
      </w:tr>
      <w:tr>
        <w:tc>
          <w:tcPr>
            <w:tcW w:type="dxa" w:w="3024"/>
            <w:shd w:val="clear" w:color="auto" w:fill="FFFFFF"/>
          </w:tcPr>
          <w:p>
            <w:pPr>
              <w:jc w:val="center"/>
            </w:pPr>
            <w:r>
              <w:rPr>
                <w:b/>
                <w:color w:val="1E3A5F"/>
                <w:sz w:val="19"/>
              </w:rPr>
              <w:t>SCREENING FASE 1</w:t>
              <w:br/>
              <w:t>(Judul &amp; Abstrak)</w:t>
            </w:r>
          </w:p>
        </w:tc>
        <w:tc>
          <w:tcPr>
            <w:tcW w:type="dxa" w:w="3024"/>
            <w:shd w:val="clear" w:color="auto" w:fill="FFFFFF"/>
          </w:tcPr>
          <w:p>
            <w:r>
              <w:rPr>
                <w:color w:val="1E293B"/>
                <w:sz w:val="18"/>
              </w:rPr>
              <w:t>Disaring               : 310 rekaman</w:t>
              <w:br/>
              <w:t>Eksklusi Fase 1        : 230 rekaman</w:t>
              <w:br/>
              <w:t>Lolos ke Fase 2        :  80 rekaman</w:t>
            </w:r>
          </w:p>
        </w:tc>
        <w:tc>
          <w:tcPr>
            <w:tcW w:type="dxa" w:w="3024"/>
            <w:shd w:val="clear" w:color="auto" w:fill="FFFFFF"/>
          </w:tcPr>
          <w:p>
            <w:r>
              <w:rPr>
                <w:i/>
                <w:color w:val="64748B"/>
                <w:sz w:val="17"/>
              </w:rPr>
              <w:t>Alasan eksklusi:</w:t>
              <w:br/>
              <w:t>• Tidak relevan topik (bukan VitD+MDD): 124</w:t>
              <w:br/>
              <w:t>• Populasi tidak sesuai (hewan, anak): 58</w:t>
              <w:br/>
              <w:t>• Desain studi tidak sesuai (review narasi): 28</w:t>
              <w:br/>
              <w:t>• Tidak ada pengukuran biomarker: 20</w:t>
            </w:r>
          </w:p>
        </w:tc>
      </w:tr>
      <w:tr>
        <w:tc>
          <w:tcPr>
            <w:tcW w:type="dxa" w:w="3024"/>
            <w:shd w:val="clear" w:color="auto" w:fill="F8FAFC"/>
          </w:tcPr>
          <w:p>
            <w:pPr>
              <w:jc w:val="center"/>
            </w:pPr>
            <w:r>
              <w:rPr>
                <w:b/>
                <w:color w:val="1E3A5F"/>
                <w:sz w:val="19"/>
              </w:rPr>
              <w:t>PENILAIAN FASE 2</w:t>
              <w:br/>
              <w:t>(Full-Text)</w:t>
            </w:r>
          </w:p>
        </w:tc>
        <w:tc>
          <w:tcPr>
            <w:tcW w:type="dxa" w:w="3024"/>
            <w:shd w:val="clear" w:color="auto" w:fill="F8FAFC"/>
          </w:tcPr>
          <w:p>
            <w:r>
              <w:rPr>
                <w:color w:val="1E293B"/>
                <w:sz w:val="18"/>
              </w:rPr>
              <w:t>Dinilai full-text     : 80 rekaman</w:t>
              <w:br/>
              <w:t>Eksklusi Fase 2       : 70 rekaman</w:t>
              <w:br/>
              <w:t>STUDI DIINKLUSI       : 10 studi</w:t>
            </w:r>
          </w:p>
        </w:tc>
        <w:tc>
          <w:tcPr>
            <w:tcW w:type="dxa" w:w="3024"/>
            <w:shd w:val="clear" w:color="auto" w:fill="F8FAFC"/>
          </w:tcPr>
          <w:p>
            <w:r>
              <w:rPr>
                <w:i/>
                <w:color w:val="64748B"/>
                <w:sz w:val="17"/>
              </w:rPr>
              <w:t>Alasan eksklusi full-text:</w:t>
              <w:br/>
              <w:t>• Monoterapi VitD (tanpa antidepresan): 28</w:t>
              <w:br/>
              <w:t>• Ko-suplementasi multipel (VD+omega3, dsb): 15</w:t>
              <w:br/>
              <w:t>• Tidak mengukur biomarker neuroinflamasi: 14</w:t>
              <w:br/>
              <w:t>• Populasi di luar 18–65 tahun: 7</w:t>
              <w:br/>
              <w:t>• Komorbiditas psikiatri mayor bukan MDD: 6</w:t>
            </w:r>
          </w:p>
        </w:tc>
      </w:tr>
      <w:tr>
        <w:tc>
          <w:tcPr>
            <w:tcW w:type="dxa" w:w="3024"/>
            <w:shd w:val="clear" w:color="auto" w:fill="DCFCE7"/>
          </w:tcPr>
          <w:p>
            <w:pPr>
              <w:jc w:val="center"/>
            </w:pPr>
            <w:r>
              <w:rPr>
                <w:b/>
                <w:color w:val="1E3A5F"/>
                <w:sz w:val="19"/>
              </w:rPr>
              <w:t>STUDI TERINKLUSI</w:t>
              <w:br/>
              <w:t>✓ FINAL</w:t>
            </w:r>
          </w:p>
        </w:tc>
        <w:tc>
          <w:tcPr>
            <w:tcW w:type="dxa" w:w="3024"/>
            <w:shd w:val="clear" w:color="auto" w:fill="DCFCE7"/>
          </w:tcPr>
          <w:p>
            <w:r>
              <w:rPr>
                <w:color w:val="1E293B"/>
                <w:sz w:val="18"/>
              </w:rPr>
              <w:t>10 studi diinklusi ke</w:t>
              <w:br/>
              <w:t>dalam sintesis tematik</w:t>
              <w:br/>
              <w:br/>
              <w:t>Domain Biomarker    : 5 studi</w:t>
              <w:br/>
              <w:t>Domain Skor Klinis  : 5 studi</w:t>
            </w:r>
          </w:p>
        </w:tc>
        <w:tc>
          <w:tcPr>
            <w:tcW w:type="dxa" w:w="3024"/>
            <w:shd w:val="clear" w:color="auto" w:fill="DCFCE7"/>
          </w:tcPr>
          <w:p>
            <w:r>
              <w:rPr>
                <w:i/>
                <w:color w:val="64748B"/>
                <w:sz w:val="17"/>
              </w:rPr>
              <w:t>Cohen's kappa inter-rater : 0,82</w:t>
              <w:br/>
              <w:t>(melebihi target minimal 0,80)</w:t>
              <w:br/>
              <w:t>Kalibrasi bersama dosen pembimbing</w:t>
              <w:br/>
              <w:t>pada 15% sampel artikel.</w:t>
            </w:r>
          </w:p>
        </w:tc>
      </w:tr>
    </w:tbl>
    <w:p/>
    <w:p>
      <w:pPr>
        <w:jc w:val="left"/>
      </w:pPr>
      <w:r>
        <w:rPr>
          <w:b/>
          <w:color w:val="0891B2"/>
          <w:sz w:val="20"/>
        </w:rPr>
        <w:t>─────  Elemen Interaktif (hover/klik di HTML)  ─────</w:t>
      </w:r>
    </w:p>
    <w:p/>
    <w:p>
      <w:r>
        <w:rPr>
          <w:b w:val="0"/>
          <w:i w:val="0"/>
          <w:color w:val="64748B"/>
          <w:sz w:val="20"/>
        </w:rPr>
        <w:t>• Hover pada box fase Eksklusi Fase 2 → tooltip menampilkan detail alasan eksklusi</w:t>
        <w:br/>
        <w:t>• Warna box: Identifikasi (biru), Screening (oranye), Included (hijau)</w:t>
        <w:br/>
        <w:t>• Angka ditampilkan dengan font besar (24px) agar terbaca dari jarak proyektor</w:t>
      </w:r>
    </w:p>
    <w:p>
      <w:r>
        <w:br w:type="page"/>
      </w:r>
    </w:p>
    <w:p>
      <w:pPr>
        <w:pStyle w:val="Heading1"/>
        <w:jc w:val="left"/>
      </w:pPr>
      <w:r>
        <w:rPr>
          <w:color w:val="1E3A5F"/>
          <w:sz w:val="32"/>
        </w:rPr>
        <w:t>SECTION 2 — OUTPUT 2/5: TABEL KARAKTERISTIK STUDI TERINKLUSI</w:t>
      </w:r>
    </w:p>
    <w:p>
      <w:r>
        <w:rPr>
          <w:b w:val="0"/>
          <w:i/>
          <w:color w:val="64748B"/>
          <w:sz w:val="20"/>
        </w:rPr>
        <w:t>Tabel ini berisi 10 studi yang diinklusi ke dalam pemetaan, terbagi dalam 2 domain. Data diekstrak menggunakan JBI Data Extraction Instrument. Di HTML, tabel dapat difilter berdasarkan desain studi, biomarker, dan domain.</w:t>
      </w:r>
    </w:p>
    <w:p/>
    <w:p>
      <w:r>
        <w:rPr>
          <w:b/>
          <w:i w:val="0"/>
          <w:color w:val="DC2626"/>
          <w:sz w:val="20"/>
        </w:rPr>
        <w:t xml:space="preserve">CATATAN: </w:t>
      </w:r>
      <w:r>
        <w:rPr>
          <w:b w:val="0"/>
          <w:i/>
          <w:color w:val="64748B"/>
          <w:sz w:val="19"/>
        </w:rPr>
        <w:t>Data di bawah merupakan CONTOH SIMULASI yang realistis berdasarkan studi-studi yang dirujuk dalam tinjauan pustaka proposal. Studi 1–5 adalah studi yang sudah dikutip di proposal. Studi 6–10 merupakan representasi tipe studi yang diperkirakan akan ditemukan dalam pencarian aktual.</w:t>
      </w:r>
    </w:p>
    <w:p/>
    <w:p>
      <w:pPr>
        <w:jc w:val="left"/>
      </w:pPr>
      <w:r>
        <w:rPr>
          <w:b/>
          <w:color w:val="0891B2"/>
          <w:sz w:val="20"/>
        </w:rPr>
        <w:t>─────  Domain 1: Efek terhadap Biomarker Neuroinflamasi (5 Studi)  ─────</w:t>
      </w:r>
    </w:p>
    <w:p/>
    <w:tbl>
      <w:tblPr>
        <w:tblStyle w:val="TableGrid"/>
        <w:tblW w:type="auto" w:w="0"/>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shd w:val="clear" w:color="auto" w:fill="1E3A5F"/>
          </w:tcPr>
          <w:p>
            <w:pPr>
              <w:jc w:val="center"/>
            </w:pPr>
            <w:r>
              <w:rPr>
                <w:b/>
                <w:color w:val="FFFFFF"/>
                <w:sz w:val="16"/>
              </w:rPr>
              <w:t>No</w:t>
            </w:r>
          </w:p>
        </w:tc>
        <w:tc>
          <w:tcPr>
            <w:tcW w:type="dxa" w:w="825"/>
            <w:shd w:val="clear" w:color="auto" w:fill="1E3A5F"/>
          </w:tcPr>
          <w:p>
            <w:pPr>
              <w:jc w:val="center"/>
            </w:pPr>
            <w:r>
              <w:rPr>
                <w:b/>
                <w:color w:val="FFFFFF"/>
                <w:sz w:val="16"/>
              </w:rPr>
              <w:t>Penulis/Tahun</w:t>
            </w:r>
          </w:p>
        </w:tc>
        <w:tc>
          <w:tcPr>
            <w:tcW w:type="dxa" w:w="825"/>
            <w:shd w:val="clear" w:color="auto" w:fill="1E3A5F"/>
          </w:tcPr>
          <w:p>
            <w:pPr>
              <w:jc w:val="center"/>
            </w:pPr>
            <w:r>
              <w:rPr>
                <w:b/>
                <w:color w:val="FFFFFF"/>
                <w:sz w:val="16"/>
              </w:rPr>
              <w:t>Negara</w:t>
            </w:r>
          </w:p>
        </w:tc>
        <w:tc>
          <w:tcPr>
            <w:tcW w:type="dxa" w:w="825"/>
            <w:shd w:val="clear" w:color="auto" w:fill="1E3A5F"/>
          </w:tcPr>
          <w:p>
            <w:pPr>
              <w:jc w:val="center"/>
            </w:pPr>
            <w:r>
              <w:rPr>
                <w:b/>
                <w:color w:val="FFFFFF"/>
                <w:sz w:val="16"/>
              </w:rPr>
              <w:t>Desain</w:t>
            </w:r>
          </w:p>
        </w:tc>
        <w:tc>
          <w:tcPr>
            <w:tcW w:type="dxa" w:w="825"/>
            <w:shd w:val="clear" w:color="auto" w:fill="1E3A5F"/>
          </w:tcPr>
          <w:p>
            <w:pPr>
              <w:jc w:val="center"/>
            </w:pPr>
            <w:r>
              <w:rPr>
                <w:b/>
                <w:color w:val="FFFFFF"/>
                <w:sz w:val="16"/>
              </w:rPr>
              <w:t>N</w:t>
            </w:r>
          </w:p>
        </w:tc>
        <w:tc>
          <w:tcPr>
            <w:tcW w:type="dxa" w:w="825"/>
            <w:shd w:val="clear" w:color="auto" w:fill="1E3A5F"/>
          </w:tcPr>
          <w:p>
            <w:pPr>
              <w:jc w:val="center"/>
            </w:pPr>
            <w:r>
              <w:rPr>
                <w:b/>
                <w:color w:val="FFFFFF"/>
                <w:sz w:val="16"/>
              </w:rPr>
              <w:t>Dosis VitD</w:t>
            </w:r>
          </w:p>
        </w:tc>
        <w:tc>
          <w:tcPr>
            <w:tcW w:type="dxa" w:w="825"/>
            <w:shd w:val="clear" w:color="auto" w:fill="1E3A5F"/>
          </w:tcPr>
          <w:p>
            <w:pPr>
              <w:jc w:val="center"/>
            </w:pPr>
            <w:r>
              <w:rPr>
                <w:b/>
                <w:color w:val="FFFFFF"/>
                <w:sz w:val="16"/>
              </w:rPr>
              <w:t>Durasi</w:t>
            </w:r>
          </w:p>
        </w:tc>
        <w:tc>
          <w:tcPr>
            <w:tcW w:type="dxa" w:w="825"/>
            <w:shd w:val="clear" w:color="auto" w:fill="1E3A5F"/>
          </w:tcPr>
          <w:p>
            <w:pPr>
              <w:jc w:val="center"/>
            </w:pPr>
            <w:r>
              <w:rPr>
                <w:b/>
                <w:color w:val="FFFFFF"/>
                <w:sz w:val="16"/>
              </w:rPr>
              <w:t>Antidepresan</w:t>
            </w:r>
          </w:p>
        </w:tc>
        <w:tc>
          <w:tcPr>
            <w:tcW w:type="dxa" w:w="825"/>
            <w:shd w:val="clear" w:color="auto" w:fill="1E3A5F"/>
          </w:tcPr>
          <w:p>
            <w:pPr>
              <w:jc w:val="center"/>
            </w:pPr>
            <w:r>
              <w:rPr>
                <w:b/>
                <w:color w:val="FFFFFF"/>
                <w:sz w:val="16"/>
              </w:rPr>
              <w:t>Biomarker Target</w:t>
            </w:r>
          </w:p>
        </w:tc>
        <w:tc>
          <w:tcPr>
            <w:tcW w:type="dxa" w:w="825"/>
            <w:shd w:val="clear" w:color="auto" w:fill="1E3A5F"/>
          </w:tcPr>
          <w:p>
            <w:pPr>
              <w:jc w:val="center"/>
            </w:pPr>
            <w:r>
              <w:rPr>
                <w:b/>
                <w:color w:val="FFFFFF"/>
                <w:sz w:val="16"/>
              </w:rPr>
              <w:t>Hasil Biomarker</w:t>
            </w:r>
          </w:p>
        </w:tc>
        <w:tc>
          <w:tcPr>
            <w:tcW w:type="dxa" w:w="825"/>
            <w:shd w:val="clear" w:color="auto" w:fill="1E3A5F"/>
          </w:tcPr>
          <w:p>
            <w:pPr>
              <w:jc w:val="center"/>
            </w:pPr>
            <w:r>
              <w:rPr>
                <w:b/>
                <w:color w:val="FFFFFF"/>
                <w:sz w:val="16"/>
              </w:rPr>
              <w:t>Skor Depresi</w:t>
            </w:r>
          </w:p>
        </w:tc>
      </w:tr>
      <w:tr>
        <w:tc>
          <w:tcPr>
            <w:tcW w:type="dxa" w:w="825"/>
            <w:shd w:val="clear" w:color="auto" w:fill="FFFFFF"/>
          </w:tcPr>
          <w:p>
            <w:pPr>
              <w:jc w:val="center"/>
            </w:pPr>
            <w:r>
              <w:rPr>
                <w:color w:val="1E293B"/>
                <w:sz w:val="16"/>
              </w:rPr>
              <w:t>1</w:t>
            </w:r>
          </w:p>
        </w:tc>
        <w:tc>
          <w:tcPr>
            <w:tcW w:type="dxa" w:w="825"/>
            <w:shd w:val="clear" w:color="auto" w:fill="FFFFFF"/>
          </w:tcPr>
          <w:p>
            <w:pPr>
              <w:jc w:val="center"/>
            </w:pPr>
            <w:r>
              <w:rPr>
                <w:color w:val="1E293B"/>
                <w:sz w:val="16"/>
              </w:rPr>
              <w:t>Kaviani</w:t>
              <w:br/>
              <w:t>et al.</w:t>
              <w:br/>
              <w:t>2022</w:t>
            </w:r>
          </w:p>
        </w:tc>
        <w:tc>
          <w:tcPr>
            <w:tcW w:type="dxa" w:w="825"/>
            <w:shd w:val="clear" w:color="auto" w:fill="FFFFFF"/>
          </w:tcPr>
          <w:p>
            <w:pPr>
              <w:jc w:val="center"/>
            </w:pPr>
            <w:r>
              <w:rPr>
                <w:color w:val="1E293B"/>
                <w:sz w:val="16"/>
              </w:rPr>
              <w:t>Iran</w:t>
            </w:r>
          </w:p>
        </w:tc>
        <w:tc>
          <w:tcPr>
            <w:tcW w:type="dxa" w:w="825"/>
            <w:shd w:val="clear" w:color="auto" w:fill="FFFFFF"/>
          </w:tcPr>
          <w:p>
            <w:pPr>
              <w:jc w:val="center"/>
            </w:pPr>
            <w:r>
              <w:rPr>
                <w:color w:val="1E293B"/>
                <w:sz w:val="16"/>
              </w:rPr>
              <w:t>RCT DB</w:t>
              <w:br/>
              <w:t>Plasebo-</w:t>
              <w:br/>
              <w:t>terkontrol</w:t>
            </w:r>
          </w:p>
        </w:tc>
        <w:tc>
          <w:tcPr>
            <w:tcW w:type="dxa" w:w="825"/>
            <w:shd w:val="clear" w:color="auto" w:fill="FFFFFF"/>
          </w:tcPr>
          <w:p>
            <w:pPr>
              <w:jc w:val="center"/>
            </w:pPr>
            <w:r>
              <w:rPr>
                <w:color w:val="1E293B"/>
                <w:sz w:val="16"/>
              </w:rPr>
              <w:t>60</w:t>
            </w:r>
          </w:p>
        </w:tc>
        <w:tc>
          <w:tcPr>
            <w:tcW w:type="dxa" w:w="825"/>
            <w:shd w:val="clear" w:color="auto" w:fill="FFFFFF"/>
          </w:tcPr>
          <w:p>
            <w:pPr>
              <w:jc w:val="center"/>
            </w:pPr>
            <w:r>
              <w:rPr>
                <w:color w:val="1E293B"/>
                <w:sz w:val="16"/>
              </w:rPr>
              <w:t>50.000 IU</w:t>
              <w:br/>
              <w:t>/2 minggu</w:t>
            </w:r>
          </w:p>
        </w:tc>
        <w:tc>
          <w:tcPr>
            <w:tcW w:type="dxa" w:w="825"/>
            <w:shd w:val="clear" w:color="auto" w:fill="FFFFFF"/>
          </w:tcPr>
          <w:p>
            <w:pPr>
              <w:jc w:val="center"/>
            </w:pPr>
            <w:r>
              <w:rPr>
                <w:color w:val="1E293B"/>
                <w:sz w:val="16"/>
              </w:rPr>
              <w:t>8 minggu</w:t>
            </w:r>
          </w:p>
        </w:tc>
        <w:tc>
          <w:tcPr>
            <w:tcW w:type="dxa" w:w="825"/>
            <w:shd w:val="clear" w:color="auto" w:fill="FFFFFF"/>
          </w:tcPr>
          <w:p>
            <w:pPr>
              <w:jc w:val="center"/>
            </w:pPr>
            <w:r>
              <w:rPr>
                <w:color w:val="1E293B"/>
                <w:sz w:val="16"/>
              </w:rPr>
              <w:t>Tidak</w:t>
              <w:br/>
              <w:t>(Monoterapi)</w:t>
            </w:r>
          </w:p>
        </w:tc>
        <w:tc>
          <w:tcPr>
            <w:tcW w:type="dxa" w:w="825"/>
            <w:shd w:val="clear" w:color="auto" w:fill="FFFFFF"/>
          </w:tcPr>
          <w:p>
            <w:pPr>
              <w:jc w:val="center"/>
            </w:pPr>
            <w:r>
              <w:rPr>
                <w:color w:val="1E293B"/>
                <w:sz w:val="16"/>
              </w:rPr>
              <w:t>IL-1β</w:t>
              <w:br/>
              <w:t>IL-6</w:t>
              <w:br/>
              <w:t>CRP</w:t>
            </w:r>
          </w:p>
        </w:tc>
        <w:tc>
          <w:tcPr>
            <w:tcW w:type="dxa" w:w="825"/>
            <w:shd w:val="clear" w:color="auto" w:fill="FFFFFF"/>
          </w:tcPr>
          <w:p>
            <w:pPr>
              <w:jc w:val="center"/>
            </w:pPr>
            <w:r>
              <w:rPr>
                <w:color w:val="1E293B"/>
                <w:sz w:val="16"/>
              </w:rPr>
              <w:t>BDI-II ↓ Signifikan</w:t>
              <w:br/>
              <w:t>IL-1β → NS</w:t>
              <w:br/>
              <w:t>IL-6 → NS</w:t>
              <w:br/>
              <w:t>CRP → NS</w:t>
            </w:r>
          </w:p>
        </w:tc>
        <w:tc>
          <w:tcPr>
            <w:tcW w:type="dxa" w:w="825"/>
            <w:shd w:val="clear" w:color="auto" w:fill="FFFFFF"/>
          </w:tcPr>
          <w:p>
            <w:pPr>
              <w:jc w:val="center"/>
            </w:pPr>
            <w:r>
              <w:rPr>
                <w:color w:val="1E293B"/>
                <w:sz w:val="16"/>
              </w:rPr>
              <w:t>BDI-II</w:t>
              <w:br/>
              <w:t>↓ Signifikan</w:t>
            </w:r>
          </w:p>
        </w:tc>
      </w:tr>
      <w:tr>
        <w:tc>
          <w:tcPr>
            <w:tcW w:type="dxa" w:w="825"/>
            <w:shd w:val="clear" w:color="auto" w:fill="F8FAFC"/>
          </w:tcPr>
          <w:p>
            <w:pPr>
              <w:jc w:val="center"/>
            </w:pPr>
            <w:r>
              <w:rPr>
                <w:color w:val="1E293B"/>
                <w:sz w:val="16"/>
              </w:rPr>
              <w:t>2</w:t>
            </w:r>
          </w:p>
        </w:tc>
        <w:tc>
          <w:tcPr>
            <w:tcW w:type="dxa" w:w="825"/>
            <w:shd w:val="clear" w:color="auto" w:fill="F8FAFC"/>
          </w:tcPr>
          <w:p>
            <w:pPr>
              <w:jc w:val="center"/>
            </w:pPr>
            <w:r>
              <w:rPr>
                <w:color w:val="1E293B"/>
                <w:sz w:val="16"/>
              </w:rPr>
              <w:t>Mozaffari-</w:t>
              <w:br/>
              <w:t>Khosravi</w:t>
              <w:br/>
              <w:t>et al. 2013</w:t>
            </w:r>
          </w:p>
        </w:tc>
        <w:tc>
          <w:tcPr>
            <w:tcW w:type="dxa" w:w="825"/>
            <w:shd w:val="clear" w:color="auto" w:fill="F8FAFC"/>
          </w:tcPr>
          <w:p>
            <w:pPr>
              <w:jc w:val="center"/>
            </w:pPr>
            <w:r>
              <w:rPr>
                <w:color w:val="1E293B"/>
                <w:sz w:val="16"/>
              </w:rPr>
              <w:t>Iran</w:t>
            </w:r>
          </w:p>
        </w:tc>
        <w:tc>
          <w:tcPr>
            <w:tcW w:type="dxa" w:w="825"/>
            <w:shd w:val="clear" w:color="auto" w:fill="F8FAFC"/>
          </w:tcPr>
          <w:p>
            <w:pPr>
              <w:jc w:val="center"/>
            </w:pPr>
            <w:r>
              <w:rPr>
                <w:color w:val="1E293B"/>
                <w:sz w:val="16"/>
              </w:rPr>
              <w:t>RCT</w:t>
              <w:br/>
              <w:t>Double-</w:t>
              <w:br/>
              <w:t>blind</w:t>
            </w:r>
          </w:p>
        </w:tc>
        <w:tc>
          <w:tcPr>
            <w:tcW w:type="dxa" w:w="825"/>
            <w:shd w:val="clear" w:color="auto" w:fill="F8FAFC"/>
          </w:tcPr>
          <w:p>
            <w:pPr>
              <w:jc w:val="center"/>
            </w:pPr>
            <w:r>
              <w:rPr>
                <w:color w:val="1E293B"/>
                <w:sz w:val="16"/>
              </w:rPr>
              <w:t>120</w:t>
            </w:r>
          </w:p>
        </w:tc>
        <w:tc>
          <w:tcPr>
            <w:tcW w:type="dxa" w:w="825"/>
            <w:shd w:val="clear" w:color="auto" w:fill="F8FAFC"/>
          </w:tcPr>
          <w:p>
            <w:pPr>
              <w:jc w:val="center"/>
            </w:pPr>
            <w:r>
              <w:rPr>
                <w:color w:val="1E293B"/>
                <w:sz w:val="16"/>
              </w:rPr>
              <w:t>300.000 IU</w:t>
              <w:br/>
              <w:t>/bulan</w:t>
              <w:br/>
              <w:t>(injeksi)</w:t>
            </w:r>
          </w:p>
        </w:tc>
        <w:tc>
          <w:tcPr>
            <w:tcW w:type="dxa" w:w="825"/>
            <w:shd w:val="clear" w:color="auto" w:fill="F8FAFC"/>
          </w:tcPr>
          <w:p>
            <w:pPr>
              <w:jc w:val="center"/>
            </w:pPr>
            <w:r>
              <w:rPr>
                <w:color w:val="1E293B"/>
                <w:sz w:val="16"/>
              </w:rPr>
              <w:t>3 bulan</w:t>
            </w:r>
          </w:p>
        </w:tc>
        <w:tc>
          <w:tcPr>
            <w:tcW w:type="dxa" w:w="825"/>
            <w:shd w:val="clear" w:color="auto" w:fill="F8FAFC"/>
          </w:tcPr>
          <w:p>
            <w:pPr>
              <w:jc w:val="center"/>
            </w:pPr>
            <w:r>
              <w:rPr>
                <w:color w:val="1E293B"/>
                <w:sz w:val="16"/>
              </w:rPr>
              <w:t>Tidak</w:t>
              <w:br/>
              <w:t>(Monoterapi)</w:t>
            </w:r>
          </w:p>
        </w:tc>
        <w:tc>
          <w:tcPr>
            <w:tcW w:type="dxa" w:w="825"/>
            <w:shd w:val="clear" w:color="auto" w:fill="F8FAFC"/>
          </w:tcPr>
          <w:p>
            <w:pPr>
              <w:jc w:val="center"/>
            </w:pPr>
            <w:r>
              <w:rPr>
                <w:color w:val="1E293B"/>
                <w:sz w:val="16"/>
              </w:rPr>
              <w:t>CRP</w:t>
              <w:br/>
              <w:t>Biomarker</w:t>
              <w:br/>
              <w:t>inflamasi</w:t>
              <w:br/>
              <w:t>umum</w:t>
            </w:r>
          </w:p>
        </w:tc>
        <w:tc>
          <w:tcPr>
            <w:tcW w:type="dxa" w:w="825"/>
            <w:shd w:val="clear" w:color="auto" w:fill="F8FAFC"/>
          </w:tcPr>
          <w:p>
            <w:pPr>
              <w:jc w:val="center"/>
            </w:pPr>
            <w:r>
              <w:rPr>
                <w:color w:val="1E293B"/>
                <w:sz w:val="16"/>
              </w:rPr>
              <w:t>CRP ↓ Signifikan</w:t>
              <w:br/>
              <w:t>(p&lt;0,05)</w:t>
            </w:r>
          </w:p>
        </w:tc>
        <w:tc>
          <w:tcPr>
            <w:tcW w:type="dxa" w:w="825"/>
            <w:shd w:val="clear" w:color="auto" w:fill="F8FAFC"/>
          </w:tcPr>
          <w:p>
            <w:pPr>
              <w:jc w:val="center"/>
            </w:pPr>
            <w:r>
              <w:rPr>
                <w:color w:val="1E293B"/>
                <w:sz w:val="16"/>
              </w:rPr>
              <w:t>BDI</w:t>
              <w:br/>
              <w:t>↓ Signifikan</w:t>
            </w:r>
          </w:p>
        </w:tc>
      </w:tr>
      <w:tr>
        <w:tc>
          <w:tcPr>
            <w:tcW w:type="dxa" w:w="825"/>
            <w:shd w:val="clear" w:color="auto" w:fill="FFFFFF"/>
          </w:tcPr>
          <w:p>
            <w:pPr>
              <w:jc w:val="center"/>
            </w:pPr>
            <w:r>
              <w:rPr>
                <w:color w:val="1E293B"/>
                <w:sz w:val="16"/>
              </w:rPr>
              <w:t>3</w:t>
            </w:r>
          </w:p>
        </w:tc>
        <w:tc>
          <w:tcPr>
            <w:tcW w:type="dxa" w:w="825"/>
            <w:shd w:val="clear" w:color="auto" w:fill="FFFFFF"/>
          </w:tcPr>
          <w:p>
            <w:pPr>
              <w:jc w:val="center"/>
            </w:pPr>
            <w:r>
              <w:rPr>
                <w:color w:val="1E293B"/>
                <w:sz w:val="16"/>
              </w:rPr>
              <w:t>Moslemi</w:t>
              <w:br/>
              <w:t>et al. 2022</w:t>
            </w:r>
          </w:p>
        </w:tc>
        <w:tc>
          <w:tcPr>
            <w:tcW w:type="dxa" w:w="825"/>
            <w:shd w:val="clear" w:color="auto" w:fill="FFFFFF"/>
          </w:tcPr>
          <w:p>
            <w:pPr>
              <w:jc w:val="center"/>
            </w:pPr>
            <w:r>
              <w:rPr>
                <w:color w:val="1E293B"/>
                <w:sz w:val="16"/>
              </w:rPr>
              <w:t>Multi</w:t>
              <w:br/>
              <w:t>negara</w:t>
            </w:r>
          </w:p>
        </w:tc>
        <w:tc>
          <w:tcPr>
            <w:tcW w:type="dxa" w:w="825"/>
            <w:shd w:val="clear" w:color="auto" w:fill="FFFFFF"/>
          </w:tcPr>
          <w:p>
            <w:pPr>
              <w:jc w:val="center"/>
            </w:pPr>
            <w:r>
              <w:rPr>
                <w:color w:val="1E293B"/>
                <w:sz w:val="16"/>
              </w:rPr>
              <w:t>Umbrella</w:t>
              <w:br/>
              <w:t>Meta-</w:t>
              <w:br/>
              <w:t>analysis</w:t>
              <w:br/>
              <w:t>(81 RCT)</w:t>
            </w:r>
          </w:p>
        </w:tc>
        <w:tc>
          <w:tcPr>
            <w:tcW w:type="dxa" w:w="825"/>
            <w:shd w:val="clear" w:color="auto" w:fill="FFFFFF"/>
          </w:tcPr>
          <w:p>
            <w:pPr>
              <w:jc w:val="center"/>
            </w:pPr>
            <w:r>
              <w:rPr>
                <w:color w:val="1E293B"/>
                <w:sz w:val="16"/>
              </w:rPr>
              <w:t>Mixed</w:t>
            </w:r>
          </w:p>
        </w:tc>
        <w:tc>
          <w:tcPr>
            <w:tcW w:type="dxa" w:w="825"/>
            <w:shd w:val="clear" w:color="auto" w:fill="FFFFFF"/>
          </w:tcPr>
          <w:p>
            <w:pPr>
              <w:jc w:val="center"/>
            </w:pPr>
            <w:r>
              <w:rPr>
                <w:color w:val="1E293B"/>
                <w:sz w:val="16"/>
              </w:rPr>
              <w:t>Berbagai</w:t>
              <w:br/>
              <w:t>(1.000–50.000</w:t>
              <w:br/>
              <w:t>IU/hari)</w:t>
            </w:r>
          </w:p>
        </w:tc>
        <w:tc>
          <w:tcPr>
            <w:tcW w:type="dxa" w:w="825"/>
            <w:shd w:val="clear" w:color="auto" w:fill="FFFFFF"/>
          </w:tcPr>
          <w:p>
            <w:pPr>
              <w:jc w:val="center"/>
            </w:pPr>
            <w:r>
              <w:rPr>
                <w:color w:val="1E293B"/>
                <w:sz w:val="16"/>
              </w:rPr>
              <w:t>Berbagai</w:t>
              <w:br/>
              <w:t>(4–52</w:t>
              <w:br/>
              <w:t>minggu)</w:t>
            </w:r>
          </w:p>
        </w:tc>
        <w:tc>
          <w:tcPr>
            <w:tcW w:type="dxa" w:w="825"/>
            <w:shd w:val="clear" w:color="auto" w:fill="FFFFFF"/>
          </w:tcPr>
          <w:p>
            <w:pPr>
              <w:jc w:val="center"/>
            </w:pPr>
            <w:r>
              <w:rPr>
                <w:color w:val="1E293B"/>
                <w:sz w:val="16"/>
              </w:rPr>
              <w:t>Mixed</w:t>
              <w:br/>
              <w:t>(berbagai</w:t>
              <w:br/>
              <w:t>populasi</w:t>
              <w:br/>
              <w:t>klinis)</w:t>
            </w:r>
          </w:p>
        </w:tc>
        <w:tc>
          <w:tcPr>
            <w:tcW w:type="dxa" w:w="825"/>
            <w:shd w:val="clear" w:color="auto" w:fill="FFFFFF"/>
          </w:tcPr>
          <w:p>
            <w:pPr>
              <w:jc w:val="center"/>
            </w:pPr>
            <w:r>
              <w:rPr>
                <w:color w:val="1E293B"/>
                <w:sz w:val="16"/>
              </w:rPr>
              <w:t>IL-6</w:t>
              <w:br/>
              <w:t>TNF-α</w:t>
              <w:br/>
              <w:t>CRP</w:t>
              <w:br/>
              <w:t>Stres</w:t>
              <w:br/>
              <w:t>oksidatif</w:t>
            </w:r>
          </w:p>
        </w:tc>
        <w:tc>
          <w:tcPr>
            <w:tcW w:type="dxa" w:w="825"/>
            <w:shd w:val="clear" w:color="auto" w:fill="FFFFFF"/>
          </w:tcPr>
          <w:p>
            <w:pPr>
              <w:jc w:val="center"/>
            </w:pPr>
            <w:r>
              <w:rPr>
                <w:color w:val="1E293B"/>
                <w:sz w:val="16"/>
              </w:rPr>
              <w:t>IL-6 ↓ Bermakna</w:t>
              <w:br/>
              <w:t>TNF-α ↓ Bermakna</w:t>
              <w:br/>
              <w:t>(Effect size bervariasi</w:t>
              <w:br/>
              <w:t>berdasarkan derajat</w:t>
              <w:br/>
              <w:t>defisiensi baseline)</w:t>
            </w:r>
          </w:p>
        </w:tc>
        <w:tc>
          <w:tcPr>
            <w:tcW w:type="dxa" w:w="825"/>
            <w:shd w:val="clear" w:color="auto" w:fill="FFFFFF"/>
          </w:tcPr>
          <w:p>
            <w:pPr>
              <w:jc w:val="center"/>
            </w:pPr>
            <w:r>
              <w:rPr>
                <w:color w:val="1E293B"/>
                <w:sz w:val="16"/>
              </w:rPr>
              <w:t>Tidak spesifik</w:t>
              <w:br/>
              <w:t>MDD (bukti</w:t>
              <w:br/>
              <w:t>translasional)</w:t>
            </w:r>
          </w:p>
        </w:tc>
      </w:tr>
      <w:tr>
        <w:tc>
          <w:tcPr>
            <w:tcW w:type="dxa" w:w="825"/>
            <w:shd w:val="clear" w:color="auto" w:fill="F8FAFC"/>
          </w:tcPr>
          <w:p>
            <w:pPr>
              <w:jc w:val="center"/>
            </w:pPr>
            <w:r>
              <w:rPr>
                <w:color w:val="1E293B"/>
                <w:sz w:val="16"/>
              </w:rPr>
              <w:t>4</w:t>
            </w:r>
          </w:p>
        </w:tc>
        <w:tc>
          <w:tcPr>
            <w:tcW w:type="dxa" w:w="825"/>
            <w:shd w:val="clear" w:color="auto" w:fill="F8FAFC"/>
          </w:tcPr>
          <w:p>
            <w:pPr>
              <w:jc w:val="center"/>
            </w:pPr>
            <w:r>
              <w:rPr>
                <w:color w:val="1E293B"/>
                <w:sz w:val="16"/>
              </w:rPr>
              <w:t>Behshad</w:t>
              <w:br/>
              <w:t>et al. 2025</w:t>
            </w:r>
          </w:p>
        </w:tc>
        <w:tc>
          <w:tcPr>
            <w:tcW w:type="dxa" w:w="825"/>
            <w:shd w:val="clear" w:color="auto" w:fill="F8FAFC"/>
          </w:tcPr>
          <w:p>
            <w:pPr>
              <w:jc w:val="center"/>
            </w:pPr>
            <w:r>
              <w:rPr>
                <w:color w:val="1E293B"/>
                <w:sz w:val="16"/>
              </w:rPr>
              <w:t>Iran</w:t>
            </w:r>
          </w:p>
        </w:tc>
        <w:tc>
          <w:tcPr>
            <w:tcW w:type="dxa" w:w="825"/>
            <w:shd w:val="clear" w:color="auto" w:fill="F8FAFC"/>
          </w:tcPr>
          <w:p>
            <w:pPr>
              <w:jc w:val="center"/>
            </w:pPr>
            <w:r>
              <w:rPr>
                <w:color w:val="1E293B"/>
                <w:sz w:val="16"/>
              </w:rPr>
              <w:t>RCT</w:t>
            </w:r>
          </w:p>
        </w:tc>
        <w:tc>
          <w:tcPr>
            <w:tcW w:type="dxa" w:w="825"/>
            <w:shd w:val="clear" w:color="auto" w:fill="F8FAFC"/>
          </w:tcPr>
          <w:p>
            <w:pPr>
              <w:jc w:val="center"/>
            </w:pPr>
            <w:r>
              <w:rPr>
                <w:color w:val="1E293B"/>
                <w:sz w:val="16"/>
              </w:rPr>
              <w:t>60</w:t>
            </w:r>
          </w:p>
        </w:tc>
        <w:tc>
          <w:tcPr>
            <w:tcW w:type="dxa" w:w="825"/>
            <w:shd w:val="clear" w:color="auto" w:fill="F8FAFC"/>
          </w:tcPr>
          <w:p>
            <w:pPr>
              <w:jc w:val="center"/>
            </w:pPr>
            <w:r>
              <w:rPr>
                <w:color w:val="1E293B"/>
                <w:sz w:val="16"/>
              </w:rPr>
              <w:t>VD3</w:t>
              <w:br/>
              <w:t>Standar</w:t>
            </w:r>
          </w:p>
        </w:tc>
        <w:tc>
          <w:tcPr>
            <w:tcW w:type="dxa" w:w="825"/>
            <w:shd w:val="clear" w:color="auto" w:fill="F8FAFC"/>
          </w:tcPr>
          <w:p>
            <w:pPr>
              <w:jc w:val="center"/>
            </w:pPr>
            <w:r>
              <w:rPr>
                <w:color w:val="1E293B"/>
                <w:sz w:val="16"/>
              </w:rPr>
              <w:t>12</w:t>
              <w:br/>
              <w:t>minggu</w:t>
            </w:r>
          </w:p>
        </w:tc>
        <w:tc>
          <w:tcPr>
            <w:tcW w:type="dxa" w:w="825"/>
            <w:shd w:val="clear" w:color="auto" w:fill="F8FAFC"/>
          </w:tcPr>
          <w:p>
            <w:pPr>
              <w:jc w:val="center"/>
            </w:pPr>
            <w:r>
              <w:rPr>
                <w:color w:val="1E293B"/>
                <w:sz w:val="16"/>
              </w:rPr>
              <w:t>Tidak</w:t>
              <w:br/>
              <w:t>(Populasi</w:t>
              <w:br/>
              <w:t>T2DM —</w:t>
              <w:br/>
              <w:t>translasional)</w:t>
            </w:r>
          </w:p>
        </w:tc>
        <w:tc>
          <w:tcPr>
            <w:tcW w:type="dxa" w:w="825"/>
            <w:shd w:val="clear" w:color="auto" w:fill="F8FAFC"/>
          </w:tcPr>
          <w:p>
            <w:pPr>
              <w:jc w:val="center"/>
            </w:pPr>
            <w:r>
              <w:rPr>
                <w:color w:val="1E293B"/>
                <w:sz w:val="16"/>
              </w:rPr>
              <w:t>NLRP3</w:t>
              <w:br/>
              <w:t>(ekspresi gen)</w:t>
              <w:br/>
              <w:t>Stres</w:t>
              <w:br/>
              <w:t>oksidatif</w:t>
            </w:r>
          </w:p>
        </w:tc>
        <w:tc>
          <w:tcPr>
            <w:tcW w:type="dxa" w:w="825"/>
            <w:shd w:val="clear" w:color="auto" w:fill="F8FAFC"/>
          </w:tcPr>
          <w:p>
            <w:pPr>
              <w:jc w:val="center"/>
            </w:pPr>
            <w:r>
              <w:rPr>
                <w:color w:val="1E293B"/>
                <w:sz w:val="16"/>
              </w:rPr>
              <w:t>NLRP3 gen ↓</w:t>
              <w:br/>
              <w:t>Bermakna</w:t>
              <w:br/>
              <w:t>pada PBMC</w:t>
            </w:r>
          </w:p>
        </w:tc>
        <w:tc>
          <w:tcPr>
            <w:tcW w:type="dxa" w:w="825"/>
            <w:shd w:val="clear" w:color="auto" w:fill="F8FAFC"/>
          </w:tcPr>
          <w:p>
            <w:pPr>
              <w:jc w:val="center"/>
            </w:pPr>
            <w:r>
              <w:rPr>
                <w:color w:val="1E293B"/>
                <w:sz w:val="16"/>
              </w:rPr>
              <w:t>Tidak diukur</w:t>
              <w:br/>
              <w:t>(bukan</w:t>
              <w:br/>
              <w:t>populasi MDD)</w:t>
            </w:r>
          </w:p>
        </w:tc>
      </w:tr>
      <w:tr>
        <w:tc>
          <w:tcPr>
            <w:tcW w:type="dxa" w:w="825"/>
            <w:shd w:val="clear" w:color="auto" w:fill="FFFFFF"/>
          </w:tcPr>
          <w:p>
            <w:pPr>
              <w:jc w:val="center"/>
            </w:pPr>
            <w:r>
              <w:rPr>
                <w:color w:val="1E293B"/>
                <w:sz w:val="16"/>
              </w:rPr>
              <w:t>5</w:t>
            </w:r>
          </w:p>
        </w:tc>
        <w:tc>
          <w:tcPr>
            <w:tcW w:type="dxa" w:w="825"/>
            <w:shd w:val="clear" w:color="auto" w:fill="FFFFFF"/>
          </w:tcPr>
          <w:p>
            <w:pPr>
              <w:jc w:val="center"/>
            </w:pPr>
            <w:r>
              <w:rPr>
                <w:color w:val="1E293B"/>
                <w:sz w:val="16"/>
              </w:rPr>
              <w:t>Huang</w:t>
              <w:br/>
              <w:t>et al. 2023</w:t>
            </w:r>
          </w:p>
        </w:tc>
        <w:tc>
          <w:tcPr>
            <w:tcW w:type="dxa" w:w="825"/>
            <w:shd w:val="clear" w:color="auto" w:fill="FFFFFF"/>
          </w:tcPr>
          <w:p>
            <w:pPr>
              <w:jc w:val="center"/>
            </w:pPr>
            <w:r>
              <w:rPr>
                <w:color w:val="1E293B"/>
                <w:sz w:val="16"/>
              </w:rPr>
              <w:t>Multi</w:t>
              <w:br/>
              <w:t>negara</w:t>
            </w:r>
          </w:p>
        </w:tc>
        <w:tc>
          <w:tcPr>
            <w:tcW w:type="dxa" w:w="825"/>
            <w:shd w:val="clear" w:color="auto" w:fill="FFFFFF"/>
          </w:tcPr>
          <w:p>
            <w:pPr>
              <w:jc w:val="center"/>
            </w:pPr>
            <w:r>
              <w:rPr>
                <w:color w:val="1E293B"/>
                <w:sz w:val="16"/>
              </w:rPr>
              <w:t>Systematic</w:t>
              <w:br/>
              <w:t>Review +</w:t>
              <w:br/>
              <w:t>Meta-analisis</w:t>
            </w:r>
          </w:p>
        </w:tc>
        <w:tc>
          <w:tcPr>
            <w:tcW w:type="dxa" w:w="825"/>
            <w:shd w:val="clear" w:color="auto" w:fill="FFFFFF"/>
          </w:tcPr>
          <w:p>
            <w:pPr>
              <w:jc w:val="center"/>
            </w:pPr>
            <w:r>
              <w:rPr>
                <w:color w:val="1E293B"/>
                <w:sz w:val="16"/>
              </w:rPr>
              <w:t>Mixed</w:t>
              <w:br/>
              <w:t>(&gt; 2.000)</w:t>
            </w:r>
          </w:p>
        </w:tc>
        <w:tc>
          <w:tcPr>
            <w:tcW w:type="dxa" w:w="825"/>
            <w:shd w:val="clear" w:color="auto" w:fill="FFFFFF"/>
          </w:tcPr>
          <w:p>
            <w:pPr>
              <w:jc w:val="center"/>
            </w:pPr>
            <w:r>
              <w:rPr>
                <w:color w:val="1E293B"/>
                <w:sz w:val="16"/>
              </w:rPr>
              <w:t>Berbagai</w:t>
              <w:br/>
              <w:t>dosis oral</w:t>
            </w:r>
          </w:p>
        </w:tc>
        <w:tc>
          <w:tcPr>
            <w:tcW w:type="dxa" w:w="825"/>
            <w:shd w:val="clear" w:color="auto" w:fill="FFFFFF"/>
          </w:tcPr>
          <w:p>
            <w:pPr>
              <w:jc w:val="center"/>
            </w:pPr>
            <w:r>
              <w:rPr>
                <w:color w:val="1E293B"/>
                <w:sz w:val="16"/>
              </w:rPr>
              <w:t>≥ 8</w:t>
              <w:br/>
              <w:t>minggu</w:t>
            </w:r>
          </w:p>
        </w:tc>
        <w:tc>
          <w:tcPr>
            <w:tcW w:type="dxa" w:w="825"/>
            <w:shd w:val="clear" w:color="auto" w:fill="FFFFFF"/>
          </w:tcPr>
          <w:p>
            <w:pPr>
              <w:jc w:val="center"/>
            </w:pPr>
            <w:r>
              <w:rPr>
                <w:color w:val="1E293B"/>
                <w:sz w:val="16"/>
              </w:rPr>
              <w:t>SSRI/SNRI</w:t>
              <w:br/>
              <w:t>(studi adjuvan</w:t>
              <w:br/>
              <w:t>diinklusi)</w:t>
            </w:r>
          </w:p>
        </w:tc>
        <w:tc>
          <w:tcPr>
            <w:tcW w:type="dxa" w:w="825"/>
            <w:shd w:val="clear" w:color="auto" w:fill="FFFFFF"/>
          </w:tcPr>
          <w:p>
            <w:pPr>
              <w:jc w:val="center"/>
            </w:pPr>
            <w:r>
              <w:rPr>
                <w:color w:val="1E293B"/>
                <w:sz w:val="16"/>
              </w:rPr>
              <w:t>IL-6</w:t>
              <w:br/>
              <w:t>TNF-α</w:t>
              <w:br/>
              <w:t>CRP</w:t>
            </w:r>
          </w:p>
        </w:tc>
        <w:tc>
          <w:tcPr>
            <w:tcW w:type="dxa" w:w="825"/>
            <w:shd w:val="clear" w:color="auto" w:fill="FFFFFF"/>
          </w:tcPr>
          <w:p>
            <w:pPr>
              <w:jc w:val="center"/>
            </w:pPr>
            <w:r>
              <w:rPr>
                <w:color w:val="1E293B"/>
                <w:sz w:val="16"/>
              </w:rPr>
              <w:t>IL-6 ↓ pada subset</w:t>
              <w:br/>
              <w:t>dengan defisiensi</w:t>
              <w:br/>
              <w:t>(borderline p=0,048)</w:t>
              <w:br/>
              <w:t>TNF-α → NS</w:t>
              <w:br/>
              <w:t>CRP ↓ moderat</w:t>
            </w:r>
          </w:p>
        </w:tc>
        <w:tc>
          <w:tcPr>
            <w:tcW w:type="dxa" w:w="825"/>
            <w:shd w:val="clear" w:color="auto" w:fill="FFFFFF"/>
          </w:tcPr>
          <w:p>
            <w:pPr>
              <w:jc w:val="center"/>
            </w:pPr>
            <w:r>
              <w:rPr>
                <w:color w:val="1E293B"/>
                <w:sz w:val="16"/>
              </w:rPr>
              <w:t>HDRS ↓</w:t>
              <w:br/>
              <w:t>MADRS ↓</w:t>
              <w:br/>
              <w:t>BDI-II ↓</w:t>
              <w:br/>
              <w:t>(efek moderat)</w:t>
            </w:r>
          </w:p>
        </w:tc>
      </w:tr>
    </w:tbl>
    <w:p/>
    <w:p/>
    <w:p>
      <w:pPr>
        <w:jc w:val="left"/>
      </w:pPr>
      <w:r>
        <w:rPr>
          <w:b/>
          <w:color w:val="0891B2"/>
          <w:sz w:val="20"/>
        </w:rPr>
        <w:t>─────  Domain 2: Efek terhadap Skor Klinis Depresi (5 Studi)  ─────</w:t>
      </w:r>
    </w:p>
    <w:p/>
    <w:tbl>
      <w:tblPr>
        <w:tblStyle w:val="TableGrid"/>
        <w:tblW w:type="auto" w:w="0"/>
        <w:tblLook w:firstColumn="1" w:firstRow="1" w:lastColumn="0" w:lastRow="0" w:noHBand="0" w:noVBand="1" w:val="04A0"/>
      </w:tblPr>
      <w:tblGrid>
        <w:gridCol w:w="825"/>
        <w:gridCol w:w="825"/>
        <w:gridCol w:w="825"/>
        <w:gridCol w:w="825"/>
        <w:gridCol w:w="825"/>
        <w:gridCol w:w="825"/>
        <w:gridCol w:w="825"/>
        <w:gridCol w:w="825"/>
        <w:gridCol w:w="825"/>
        <w:gridCol w:w="825"/>
        <w:gridCol w:w="825"/>
      </w:tblGrid>
      <w:tr>
        <w:tc>
          <w:tcPr>
            <w:tcW w:type="dxa" w:w="825"/>
            <w:shd w:val="clear" w:color="auto" w:fill="0891B2"/>
          </w:tcPr>
          <w:p>
            <w:pPr>
              <w:jc w:val="center"/>
            </w:pPr>
            <w:r>
              <w:rPr>
                <w:b/>
                <w:color w:val="FFFFFF"/>
                <w:sz w:val="16"/>
              </w:rPr>
              <w:t>No</w:t>
            </w:r>
          </w:p>
        </w:tc>
        <w:tc>
          <w:tcPr>
            <w:tcW w:type="dxa" w:w="825"/>
            <w:shd w:val="clear" w:color="auto" w:fill="0891B2"/>
          </w:tcPr>
          <w:p>
            <w:pPr>
              <w:jc w:val="center"/>
            </w:pPr>
            <w:r>
              <w:rPr>
                <w:b/>
                <w:color w:val="FFFFFF"/>
                <w:sz w:val="16"/>
              </w:rPr>
              <w:t>Penulis/Tahun</w:t>
            </w:r>
          </w:p>
        </w:tc>
        <w:tc>
          <w:tcPr>
            <w:tcW w:type="dxa" w:w="825"/>
            <w:shd w:val="clear" w:color="auto" w:fill="0891B2"/>
          </w:tcPr>
          <w:p>
            <w:pPr>
              <w:jc w:val="center"/>
            </w:pPr>
            <w:r>
              <w:rPr>
                <w:b/>
                <w:color w:val="FFFFFF"/>
                <w:sz w:val="16"/>
              </w:rPr>
              <w:t>Negara</w:t>
            </w:r>
          </w:p>
        </w:tc>
        <w:tc>
          <w:tcPr>
            <w:tcW w:type="dxa" w:w="825"/>
            <w:shd w:val="clear" w:color="auto" w:fill="0891B2"/>
          </w:tcPr>
          <w:p>
            <w:pPr>
              <w:jc w:val="center"/>
            </w:pPr>
            <w:r>
              <w:rPr>
                <w:b/>
                <w:color w:val="FFFFFF"/>
                <w:sz w:val="16"/>
              </w:rPr>
              <w:t>Desain</w:t>
            </w:r>
          </w:p>
        </w:tc>
        <w:tc>
          <w:tcPr>
            <w:tcW w:type="dxa" w:w="825"/>
            <w:shd w:val="clear" w:color="auto" w:fill="0891B2"/>
          </w:tcPr>
          <w:p>
            <w:pPr>
              <w:jc w:val="center"/>
            </w:pPr>
            <w:r>
              <w:rPr>
                <w:b/>
                <w:color w:val="FFFFFF"/>
                <w:sz w:val="16"/>
              </w:rPr>
              <w:t>N</w:t>
            </w:r>
          </w:p>
        </w:tc>
        <w:tc>
          <w:tcPr>
            <w:tcW w:type="dxa" w:w="825"/>
            <w:shd w:val="clear" w:color="auto" w:fill="0891B2"/>
          </w:tcPr>
          <w:p>
            <w:pPr>
              <w:jc w:val="center"/>
            </w:pPr>
            <w:r>
              <w:rPr>
                <w:b/>
                <w:color w:val="FFFFFF"/>
                <w:sz w:val="16"/>
              </w:rPr>
              <w:t>Dosis VitD</w:t>
            </w:r>
          </w:p>
        </w:tc>
        <w:tc>
          <w:tcPr>
            <w:tcW w:type="dxa" w:w="825"/>
            <w:shd w:val="clear" w:color="auto" w:fill="0891B2"/>
          </w:tcPr>
          <w:p>
            <w:pPr>
              <w:jc w:val="center"/>
            </w:pPr>
            <w:r>
              <w:rPr>
                <w:b/>
                <w:color w:val="FFFFFF"/>
                <w:sz w:val="16"/>
              </w:rPr>
              <w:t>Durasi</w:t>
            </w:r>
          </w:p>
        </w:tc>
        <w:tc>
          <w:tcPr>
            <w:tcW w:type="dxa" w:w="825"/>
            <w:shd w:val="clear" w:color="auto" w:fill="0891B2"/>
          </w:tcPr>
          <w:p>
            <w:pPr>
              <w:jc w:val="center"/>
            </w:pPr>
            <w:r>
              <w:rPr>
                <w:b/>
                <w:color w:val="FFFFFF"/>
                <w:sz w:val="16"/>
              </w:rPr>
              <w:t>Antidepresan</w:t>
            </w:r>
          </w:p>
        </w:tc>
        <w:tc>
          <w:tcPr>
            <w:tcW w:type="dxa" w:w="825"/>
            <w:shd w:val="clear" w:color="auto" w:fill="0891B2"/>
          </w:tcPr>
          <w:p>
            <w:pPr>
              <w:jc w:val="center"/>
            </w:pPr>
            <w:r>
              <w:rPr>
                <w:b/>
                <w:color w:val="FFFFFF"/>
                <w:sz w:val="16"/>
              </w:rPr>
              <w:t>Biomarker Target</w:t>
            </w:r>
          </w:p>
        </w:tc>
        <w:tc>
          <w:tcPr>
            <w:tcW w:type="dxa" w:w="825"/>
            <w:shd w:val="clear" w:color="auto" w:fill="0891B2"/>
          </w:tcPr>
          <w:p>
            <w:pPr>
              <w:jc w:val="center"/>
            </w:pPr>
            <w:r>
              <w:rPr>
                <w:b/>
                <w:color w:val="FFFFFF"/>
                <w:sz w:val="16"/>
              </w:rPr>
              <w:t>Hasil Biomarker</w:t>
            </w:r>
          </w:p>
        </w:tc>
        <w:tc>
          <w:tcPr>
            <w:tcW w:type="dxa" w:w="825"/>
            <w:shd w:val="clear" w:color="auto" w:fill="0891B2"/>
          </w:tcPr>
          <w:p>
            <w:pPr>
              <w:jc w:val="center"/>
            </w:pPr>
            <w:r>
              <w:rPr>
                <w:b/>
                <w:color w:val="FFFFFF"/>
                <w:sz w:val="16"/>
              </w:rPr>
              <w:t>Skor Depresi</w:t>
            </w:r>
          </w:p>
        </w:tc>
      </w:tr>
      <w:tr>
        <w:tc>
          <w:tcPr>
            <w:tcW w:type="dxa" w:w="825"/>
            <w:shd w:val="clear" w:color="auto" w:fill="EFF6FF"/>
          </w:tcPr>
          <w:p>
            <w:pPr>
              <w:jc w:val="center"/>
            </w:pPr>
            <w:r>
              <w:rPr>
                <w:color w:val="1E293B"/>
                <w:sz w:val="16"/>
              </w:rPr>
              <w:t>6</w:t>
            </w:r>
          </w:p>
        </w:tc>
        <w:tc>
          <w:tcPr>
            <w:tcW w:type="dxa" w:w="825"/>
            <w:shd w:val="clear" w:color="auto" w:fill="EFF6FF"/>
          </w:tcPr>
          <w:p>
            <w:pPr>
              <w:jc w:val="center"/>
            </w:pPr>
            <w:r>
              <w:rPr>
                <w:color w:val="1E293B"/>
                <w:sz w:val="16"/>
              </w:rPr>
              <w:t>Khoraminya</w:t>
              <w:br/>
              <w:t>et al. 2013</w:t>
            </w:r>
          </w:p>
        </w:tc>
        <w:tc>
          <w:tcPr>
            <w:tcW w:type="dxa" w:w="825"/>
            <w:shd w:val="clear" w:color="auto" w:fill="EFF6FF"/>
          </w:tcPr>
          <w:p>
            <w:pPr>
              <w:jc w:val="center"/>
            </w:pPr>
            <w:r>
              <w:rPr>
                <w:color w:val="1E293B"/>
                <w:sz w:val="16"/>
              </w:rPr>
              <w:t>Iran</w:t>
            </w:r>
          </w:p>
        </w:tc>
        <w:tc>
          <w:tcPr>
            <w:tcW w:type="dxa" w:w="825"/>
            <w:shd w:val="clear" w:color="auto" w:fill="EFF6FF"/>
          </w:tcPr>
          <w:p>
            <w:pPr>
              <w:jc w:val="center"/>
            </w:pPr>
            <w:r>
              <w:rPr>
                <w:color w:val="1E293B"/>
                <w:sz w:val="16"/>
              </w:rPr>
              <w:t>RCT</w:t>
              <w:br/>
              <w:t>Double-blind</w:t>
              <w:br/>
              <w:t>3 kelompok</w:t>
            </w:r>
          </w:p>
        </w:tc>
        <w:tc>
          <w:tcPr>
            <w:tcW w:type="dxa" w:w="825"/>
            <w:shd w:val="clear" w:color="auto" w:fill="EFF6FF"/>
          </w:tcPr>
          <w:p>
            <w:pPr>
              <w:jc w:val="center"/>
            </w:pPr>
            <w:r>
              <w:rPr>
                <w:color w:val="1E293B"/>
                <w:sz w:val="16"/>
              </w:rPr>
              <w:t>42</w:t>
            </w:r>
          </w:p>
        </w:tc>
        <w:tc>
          <w:tcPr>
            <w:tcW w:type="dxa" w:w="825"/>
            <w:shd w:val="clear" w:color="auto" w:fill="EFF6FF"/>
          </w:tcPr>
          <w:p>
            <w:pPr>
              <w:jc w:val="center"/>
            </w:pPr>
            <w:r>
              <w:rPr>
                <w:color w:val="1E293B"/>
                <w:sz w:val="16"/>
              </w:rPr>
              <w:t>VD3</w:t>
              <w:br/>
              <w:t>1.500 IU/hari</w:t>
            </w:r>
          </w:p>
        </w:tc>
        <w:tc>
          <w:tcPr>
            <w:tcW w:type="dxa" w:w="825"/>
            <w:shd w:val="clear" w:color="auto" w:fill="EFF6FF"/>
          </w:tcPr>
          <w:p>
            <w:pPr>
              <w:jc w:val="center"/>
            </w:pPr>
            <w:r>
              <w:rPr>
                <w:color w:val="1E293B"/>
                <w:sz w:val="16"/>
              </w:rPr>
              <w:t>8 minggu</w:t>
            </w:r>
          </w:p>
        </w:tc>
        <w:tc>
          <w:tcPr>
            <w:tcW w:type="dxa" w:w="825"/>
            <w:shd w:val="clear" w:color="auto" w:fill="EFF6FF"/>
          </w:tcPr>
          <w:p>
            <w:pPr>
              <w:jc w:val="center"/>
            </w:pPr>
            <w:r>
              <w:rPr>
                <w:color w:val="1E293B"/>
                <w:sz w:val="16"/>
              </w:rPr>
              <w:t>Fluoxetine</w:t>
              <w:br/>
              <w:t>20 mg/hari</w:t>
              <w:br/>
              <w:t>(ADJUVAN)</w:t>
            </w:r>
          </w:p>
        </w:tc>
        <w:tc>
          <w:tcPr>
            <w:tcW w:type="dxa" w:w="825"/>
            <w:shd w:val="clear" w:color="auto" w:fill="EFF6FF"/>
          </w:tcPr>
          <w:p>
            <w:pPr>
              <w:jc w:val="center"/>
            </w:pPr>
            <w:r>
              <w:rPr>
                <w:color w:val="1E293B"/>
                <w:sz w:val="16"/>
              </w:rPr>
              <w:t>HDRS</w:t>
              <w:br/>
              <w:t>(Skor Klinis)</w:t>
            </w:r>
          </w:p>
        </w:tc>
        <w:tc>
          <w:tcPr>
            <w:tcW w:type="dxa" w:w="825"/>
            <w:shd w:val="clear" w:color="auto" w:fill="EFF6FF"/>
          </w:tcPr>
          <w:p>
            <w:pPr>
              <w:jc w:val="center"/>
            </w:pPr>
            <w:r>
              <w:rPr>
                <w:color w:val="1E293B"/>
                <w:sz w:val="16"/>
              </w:rPr>
              <w:t>Tidak diukur</w:t>
              <w:br/>
              <w:t>langsung</w:t>
            </w:r>
          </w:p>
        </w:tc>
        <w:tc>
          <w:tcPr>
            <w:tcW w:type="dxa" w:w="825"/>
            <w:shd w:val="clear" w:color="auto" w:fill="EFF6FF"/>
          </w:tcPr>
          <w:p>
            <w:pPr>
              <w:jc w:val="center"/>
            </w:pPr>
            <w:r>
              <w:rPr>
                <w:color w:val="1E293B"/>
                <w:sz w:val="16"/>
              </w:rPr>
              <w:t>HDRS ↓</w:t>
              <w:br/>
              <w:t>Signifikan</w:t>
              <w:br/>
              <w:t>VD+Flu &gt; Flu</w:t>
              <w:br/>
              <w:t>ab minggu ke-4</w:t>
            </w:r>
          </w:p>
        </w:tc>
      </w:tr>
      <w:tr>
        <w:tc>
          <w:tcPr>
            <w:tcW w:type="dxa" w:w="825"/>
            <w:shd w:val="clear" w:color="auto" w:fill="F0FDFA"/>
          </w:tcPr>
          <w:p>
            <w:pPr>
              <w:jc w:val="center"/>
            </w:pPr>
            <w:r>
              <w:rPr>
                <w:color w:val="1E293B"/>
                <w:sz w:val="16"/>
              </w:rPr>
              <w:t>7</w:t>
            </w:r>
          </w:p>
        </w:tc>
        <w:tc>
          <w:tcPr>
            <w:tcW w:type="dxa" w:w="825"/>
            <w:shd w:val="clear" w:color="auto" w:fill="F0FDFA"/>
          </w:tcPr>
          <w:p>
            <w:pPr>
              <w:jc w:val="center"/>
            </w:pPr>
            <w:r>
              <w:rPr>
                <w:color w:val="1E293B"/>
                <w:sz w:val="16"/>
              </w:rPr>
              <w:t>Ghaemi</w:t>
              <w:br/>
              <w:t>et al. 2024</w:t>
            </w:r>
          </w:p>
        </w:tc>
        <w:tc>
          <w:tcPr>
            <w:tcW w:type="dxa" w:w="825"/>
            <w:shd w:val="clear" w:color="auto" w:fill="F0FDFA"/>
          </w:tcPr>
          <w:p>
            <w:pPr>
              <w:jc w:val="center"/>
            </w:pPr>
            <w:r>
              <w:rPr>
                <w:color w:val="1E293B"/>
                <w:sz w:val="16"/>
              </w:rPr>
              <w:t>Multi</w:t>
              <w:br/>
              <w:t>negara</w:t>
            </w:r>
          </w:p>
        </w:tc>
        <w:tc>
          <w:tcPr>
            <w:tcW w:type="dxa" w:w="825"/>
            <w:shd w:val="clear" w:color="auto" w:fill="F0FDFA"/>
          </w:tcPr>
          <w:p>
            <w:pPr>
              <w:jc w:val="center"/>
            </w:pPr>
            <w:r>
              <w:rPr>
                <w:color w:val="1E293B"/>
                <w:sz w:val="16"/>
              </w:rPr>
              <w:t>Dose-</w:t>
              <w:br/>
              <w:t>Response</w:t>
              <w:br/>
              <w:t>Meta-analisis</w:t>
            </w:r>
          </w:p>
        </w:tc>
        <w:tc>
          <w:tcPr>
            <w:tcW w:type="dxa" w:w="825"/>
            <w:shd w:val="clear" w:color="auto" w:fill="F0FDFA"/>
          </w:tcPr>
          <w:p>
            <w:pPr>
              <w:jc w:val="center"/>
            </w:pPr>
            <w:r>
              <w:rPr>
                <w:color w:val="1E293B"/>
                <w:sz w:val="16"/>
              </w:rPr>
              <w:t>Mixed</w:t>
            </w:r>
          </w:p>
        </w:tc>
        <w:tc>
          <w:tcPr>
            <w:tcW w:type="dxa" w:w="825"/>
            <w:shd w:val="clear" w:color="auto" w:fill="F0FDFA"/>
          </w:tcPr>
          <w:p>
            <w:pPr>
              <w:jc w:val="center"/>
            </w:pPr>
            <w:r>
              <w:rPr>
                <w:color w:val="1E293B"/>
                <w:sz w:val="16"/>
              </w:rPr>
              <w:t>Berbagai</w:t>
              <w:br/>
              <w:t>dosis</w:t>
            </w:r>
          </w:p>
        </w:tc>
        <w:tc>
          <w:tcPr>
            <w:tcW w:type="dxa" w:w="825"/>
            <w:shd w:val="clear" w:color="auto" w:fill="F0FDFA"/>
          </w:tcPr>
          <w:p>
            <w:pPr>
              <w:jc w:val="center"/>
            </w:pPr>
            <w:r>
              <w:rPr>
                <w:color w:val="1E293B"/>
                <w:sz w:val="16"/>
              </w:rPr>
              <w:t>Berbagai</w:t>
              <w:br/>
              <w:t>durasi</w:t>
            </w:r>
          </w:p>
        </w:tc>
        <w:tc>
          <w:tcPr>
            <w:tcW w:type="dxa" w:w="825"/>
            <w:shd w:val="clear" w:color="auto" w:fill="F0FDFA"/>
          </w:tcPr>
          <w:p>
            <w:pPr>
              <w:jc w:val="center"/>
            </w:pPr>
            <w:r>
              <w:rPr>
                <w:color w:val="1E293B"/>
                <w:sz w:val="16"/>
              </w:rPr>
              <w:t>Mixed</w:t>
            </w:r>
          </w:p>
        </w:tc>
        <w:tc>
          <w:tcPr>
            <w:tcW w:type="dxa" w:w="825"/>
            <w:shd w:val="clear" w:color="auto" w:fill="F0FDFA"/>
          </w:tcPr>
          <w:p>
            <w:pPr>
              <w:jc w:val="center"/>
            </w:pPr>
            <w:r>
              <w:rPr>
                <w:color w:val="1E293B"/>
                <w:sz w:val="16"/>
              </w:rPr>
              <w:t>Skor depresi</w:t>
              <w:br/>
              <w:t>(HDRS/BDI)</w:t>
              <w:br/>
              <w:t>+ subgroup</w:t>
              <w:br/>
              <w:t>25(OH)D</w:t>
            </w:r>
          </w:p>
        </w:tc>
        <w:tc>
          <w:tcPr>
            <w:tcW w:type="dxa" w:w="825"/>
            <w:shd w:val="clear" w:color="auto" w:fill="F0FDFA"/>
          </w:tcPr>
          <w:p>
            <w:pPr>
              <w:jc w:val="center"/>
            </w:pPr>
            <w:r>
              <w:rPr>
                <w:color w:val="1E293B"/>
                <w:sz w:val="16"/>
              </w:rPr>
              <w:t>Analisis subkelompok:</w:t>
              <w:br/>
              <w:t>defisiensi berat</w:t>
              <w:br/>
              <w:t>25(OH)D &lt;20 ng/mL</w:t>
            </w:r>
          </w:p>
        </w:tc>
        <w:tc>
          <w:tcPr>
            <w:tcW w:type="dxa" w:w="825"/>
            <w:shd w:val="clear" w:color="auto" w:fill="F0FDFA"/>
          </w:tcPr>
          <w:p>
            <w:pPr>
              <w:jc w:val="center"/>
            </w:pPr>
            <w:r>
              <w:rPr>
                <w:color w:val="1E293B"/>
                <w:sz w:val="16"/>
              </w:rPr>
              <w:t>Efek terkuat</w:t>
              <w:br/>
              <w:t>pada 25(OH)D</w:t>
              <w:br/>
              <w:t>&lt;20 ng/mL</w:t>
              <w:br/>
              <w:t>(p&lt;0,001)</w:t>
            </w:r>
          </w:p>
        </w:tc>
      </w:tr>
      <w:tr>
        <w:tc>
          <w:tcPr>
            <w:tcW w:type="dxa" w:w="825"/>
            <w:shd w:val="clear" w:color="auto" w:fill="EFF6FF"/>
          </w:tcPr>
          <w:p>
            <w:pPr>
              <w:jc w:val="center"/>
            </w:pPr>
            <w:r>
              <w:rPr>
                <w:color w:val="1E293B"/>
                <w:sz w:val="16"/>
              </w:rPr>
              <w:t>8</w:t>
            </w:r>
          </w:p>
        </w:tc>
        <w:tc>
          <w:tcPr>
            <w:tcW w:type="dxa" w:w="825"/>
            <w:shd w:val="clear" w:color="auto" w:fill="EFF6FF"/>
          </w:tcPr>
          <w:p>
            <w:pPr>
              <w:jc w:val="center"/>
            </w:pPr>
            <w:r>
              <w:rPr>
                <w:color w:val="1E293B"/>
                <w:sz w:val="16"/>
              </w:rPr>
              <w:t>Musazadeh</w:t>
              <w:br/>
              <w:t>et al. 2023</w:t>
            </w:r>
          </w:p>
        </w:tc>
        <w:tc>
          <w:tcPr>
            <w:tcW w:type="dxa" w:w="825"/>
            <w:shd w:val="clear" w:color="auto" w:fill="EFF6FF"/>
          </w:tcPr>
          <w:p>
            <w:pPr>
              <w:jc w:val="center"/>
            </w:pPr>
            <w:r>
              <w:rPr>
                <w:color w:val="1E293B"/>
                <w:sz w:val="16"/>
              </w:rPr>
              <w:t>Multi</w:t>
              <w:br/>
              <w:t>negara</w:t>
            </w:r>
          </w:p>
        </w:tc>
        <w:tc>
          <w:tcPr>
            <w:tcW w:type="dxa" w:w="825"/>
            <w:shd w:val="clear" w:color="auto" w:fill="EFF6FF"/>
          </w:tcPr>
          <w:p>
            <w:pPr>
              <w:jc w:val="center"/>
            </w:pPr>
            <w:r>
              <w:rPr>
                <w:color w:val="1E293B"/>
                <w:sz w:val="16"/>
              </w:rPr>
              <w:t>Meta-</w:t>
              <w:br/>
              <w:t>analisis</w:t>
            </w:r>
          </w:p>
        </w:tc>
        <w:tc>
          <w:tcPr>
            <w:tcW w:type="dxa" w:w="825"/>
            <w:shd w:val="clear" w:color="auto" w:fill="EFF6FF"/>
          </w:tcPr>
          <w:p>
            <w:pPr>
              <w:jc w:val="center"/>
            </w:pPr>
            <w:r>
              <w:rPr>
                <w:color w:val="1E293B"/>
                <w:sz w:val="16"/>
              </w:rPr>
              <w:t>Mixed</w:t>
            </w:r>
          </w:p>
        </w:tc>
        <w:tc>
          <w:tcPr>
            <w:tcW w:type="dxa" w:w="825"/>
            <w:shd w:val="clear" w:color="auto" w:fill="EFF6FF"/>
          </w:tcPr>
          <w:p>
            <w:pPr>
              <w:jc w:val="center"/>
            </w:pPr>
            <w:r>
              <w:rPr>
                <w:color w:val="1E293B"/>
                <w:sz w:val="16"/>
              </w:rPr>
              <w:t>Mixed</w:t>
            </w:r>
          </w:p>
        </w:tc>
        <w:tc>
          <w:tcPr>
            <w:tcW w:type="dxa" w:w="825"/>
            <w:shd w:val="clear" w:color="auto" w:fill="EFF6FF"/>
          </w:tcPr>
          <w:p>
            <w:pPr>
              <w:jc w:val="center"/>
            </w:pPr>
            <w:r>
              <w:rPr>
                <w:color w:val="1E293B"/>
                <w:sz w:val="16"/>
              </w:rPr>
              <w:t>Mixed</w:t>
            </w:r>
          </w:p>
        </w:tc>
        <w:tc>
          <w:tcPr>
            <w:tcW w:type="dxa" w:w="825"/>
            <w:shd w:val="clear" w:color="auto" w:fill="EFF6FF"/>
          </w:tcPr>
          <w:p>
            <w:pPr>
              <w:jc w:val="center"/>
            </w:pPr>
            <w:r>
              <w:rPr>
                <w:color w:val="1E293B"/>
                <w:sz w:val="16"/>
              </w:rPr>
              <w:t>Mixed (studi</w:t>
              <w:br/>
              <w:t>dengan</w:t>
              <w:br/>
              <w:t>antidepresan</w:t>
              <w:br/>
              <w:t>diinklusi)</w:t>
            </w:r>
          </w:p>
        </w:tc>
        <w:tc>
          <w:tcPr>
            <w:tcW w:type="dxa" w:w="825"/>
            <w:shd w:val="clear" w:color="auto" w:fill="EFF6FF"/>
          </w:tcPr>
          <w:p>
            <w:pPr>
              <w:jc w:val="center"/>
            </w:pPr>
            <w:r>
              <w:rPr>
                <w:color w:val="1E293B"/>
                <w:sz w:val="16"/>
              </w:rPr>
              <w:t>CRP</w:t>
              <w:br/>
              <w:t>IL-6</w:t>
            </w:r>
          </w:p>
        </w:tc>
        <w:tc>
          <w:tcPr>
            <w:tcW w:type="dxa" w:w="825"/>
            <w:shd w:val="clear" w:color="auto" w:fill="EFF6FF"/>
          </w:tcPr>
          <w:p>
            <w:pPr>
              <w:jc w:val="center"/>
            </w:pPr>
            <w:r>
              <w:rPr>
                <w:color w:val="1E293B"/>
                <w:sz w:val="16"/>
              </w:rPr>
              <w:t>CRP ↓ Bermakna</w:t>
              <w:br/>
              <w:t>(SMD= -0,42;</w:t>
              <w:br/>
              <w:t>95% CI: -0,71,</w:t>
              <w:br/>
              <w:t>-0,13)</w:t>
              <w:br/>
              <w:t>IL-6 borderline</w:t>
            </w:r>
          </w:p>
        </w:tc>
        <w:tc>
          <w:tcPr>
            <w:tcW w:type="dxa" w:w="825"/>
            <w:shd w:val="clear" w:color="auto" w:fill="EFF6FF"/>
          </w:tcPr>
          <w:p>
            <w:pPr>
              <w:jc w:val="center"/>
            </w:pPr>
            <w:r>
              <w:rPr>
                <w:color w:val="1E293B"/>
                <w:sz w:val="16"/>
              </w:rPr>
              <w:t>PHQ-9 ↓</w:t>
              <w:br/>
              <w:t>BDI-II ↓</w:t>
              <w:br/>
              <w:t>(efek kecil-</w:t>
              <w:br/>
              <w:t>sedang)</w:t>
            </w:r>
          </w:p>
        </w:tc>
      </w:tr>
      <w:tr>
        <w:tc>
          <w:tcPr>
            <w:tcW w:type="dxa" w:w="825"/>
            <w:shd w:val="clear" w:color="auto" w:fill="F0FDFA"/>
          </w:tcPr>
          <w:p>
            <w:pPr>
              <w:jc w:val="center"/>
            </w:pPr>
            <w:r>
              <w:rPr>
                <w:color w:val="1E293B"/>
                <w:sz w:val="16"/>
              </w:rPr>
              <w:t>9</w:t>
            </w:r>
          </w:p>
        </w:tc>
        <w:tc>
          <w:tcPr>
            <w:tcW w:type="dxa" w:w="825"/>
            <w:shd w:val="clear" w:color="auto" w:fill="F0FDFA"/>
          </w:tcPr>
          <w:p>
            <w:pPr>
              <w:jc w:val="center"/>
            </w:pPr>
            <w:r>
              <w:rPr>
                <w:color w:val="1E293B"/>
                <w:sz w:val="16"/>
              </w:rPr>
              <w:t>Vellekkatt</w:t>
              <w:br/>
              <w:t>&amp; Menon</w:t>
              <w:br/>
              <w:t>2019</w:t>
            </w:r>
          </w:p>
        </w:tc>
        <w:tc>
          <w:tcPr>
            <w:tcW w:type="dxa" w:w="825"/>
            <w:shd w:val="clear" w:color="auto" w:fill="F0FDFA"/>
          </w:tcPr>
          <w:p>
            <w:pPr>
              <w:jc w:val="center"/>
            </w:pPr>
            <w:r>
              <w:rPr>
                <w:color w:val="1E293B"/>
                <w:sz w:val="16"/>
              </w:rPr>
              <w:t>India</w:t>
            </w:r>
          </w:p>
        </w:tc>
        <w:tc>
          <w:tcPr>
            <w:tcW w:type="dxa" w:w="825"/>
            <w:shd w:val="clear" w:color="auto" w:fill="F0FDFA"/>
          </w:tcPr>
          <w:p>
            <w:pPr>
              <w:jc w:val="center"/>
            </w:pPr>
            <w:r>
              <w:rPr>
                <w:color w:val="1E293B"/>
                <w:sz w:val="16"/>
              </w:rPr>
              <w:t>Systematic</w:t>
              <w:br/>
              <w:t>Review</w:t>
            </w:r>
          </w:p>
        </w:tc>
        <w:tc>
          <w:tcPr>
            <w:tcW w:type="dxa" w:w="825"/>
            <w:shd w:val="clear" w:color="auto" w:fill="F0FDFA"/>
          </w:tcPr>
          <w:p>
            <w:pPr>
              <w:jc w:val="center"/>
            </w:pPr>
            <w:r>
              <w:rPr>
                <w:color w:val="1E293B"/>
                <w:sz w:val="16"/>
              </w:rPr>
              <w:t>Mixed</w:t>
            </w:r>
          </w:p>
        </w:tc>
        <w:tc>
          <w:tcPr>
            <w:tcW w:type="dxa" w:w="825"/>
            <w:shd w:val="clear" w:color="auto" w:fill="F0FDFA"/>
          </w:tcPr>
          <w:p>
            <w:pPr>
              <w:jc w:val="center"/>
            </w:pPr>
            <w:r>
              <w:rPr>
                <w:color w:val="1E293B"/>
                <w:sz w:val="16"/>
              </w:rPr>
              <w:t>Mixed</w:t>
            </w:r>
          </w:p>
        </w:tc>
        <w:tc>
          <w:tcPr>
            <w:tcW w:type="dxa" w:w="825"/>
            <w:shd w:val="clear" w:color="auto" w:fill="F0FDFA"/>
          </w:tcPr>
          <w:p>
            <w:pPr>
              <w:jc w:val="center"/>
            </w:pPr>
            <w:r>
              <w:rPr>
                <w:color w:val="1E293B"/>
                <w:sz w:val="16"/>
              </w:rPr>
              <w:t>≥ 4</w:t>
              <w:br/>
              <w:t>minggu</w:t>
            </w:r>
          </w:p>
        </w:tc>
        <w:tc>
          <w:tcPr>
            <w:tcW w:type="dxa" w:w="825"/>
            <w:shd w:val="clear" w:color="auto" w:fill="F0FDFA"/>
          </w:tcPr>
          <w:p>
            <w:pPr>
              <w:jc w:val="center"/>
            </w:pPr>
            <w:r>
              <w:rPr>
                <w:color w:val="1E293B"/>
                <w:sz w:val="16"/>
              </w:rPr>
              <w:t>Antidepresan</w:t>
              <w:br/>
              <w:t>(jenis mixed)</w:t>
            </w:r>
          </w:p>
        </w:tc>
        <w:tc>
          <w:tcPr>
            <w:tcW w:type="dxa" w:w="825"/>
            <w:shd w:val="clear" w:color="auto" w:fill="F0FDFA"/>
          </w:tcPr>
          <w:p>
            <w:pPr>
              <w:jc w:val="center"/>
            </w:pPr>
            <w:r>
              <w:rPr>
                <w:color w:val="1E293B"/>
                <w:sz w:val="16"/>
              </w:rPr>
              <w:t>PHQ-9</w:t>
              <w:br/>
              <w:t>BDI-II</w:t>
              <w:br/>
              <w:t>HDRS</w:t>
            </w:r>
          </w:p>
        </w:tc>
        <w:tc>
          <w:tcPr>
            <w:tcW w:type="dxa" w:w="825"/>
            <w:shd w:val="clear" w:color="auto" w:fill="F0FDFA"/>
          </w:tcPr>
          <w:p>
            <w:pPr>
              <w:jc w:val="center"/>
            </w:pPr>
            <w:r>
              <w:rPr>
                <w:color w:val="1E293B"/>
                <w:sz w:val="16"/>
              </w:rPr>
              <w:t>Tidak</w:t>
              <w:br/>
              <w:t>secara khusus</w:t>
              <w:br/>
              <w:t>dipetakan</w:t>
            </w:r>
          </w:p>
        </w:tc>
        <w:tc>
          <w:tcPr>
            <w:tcW w:type="dxa" w:w="825"/>
            <w:shd w:val="clear" w:color="auto" w:fill="F0FDFA"/>
          </w:tcPr>
          <w:p>
            <w:pPr>
              <w:jc w:val="center"/>
            </w:pPr>
            <w:r>
              <w:rPr>
                <w:color w:val="1E293B"/>
                <w:sz w:val="16"/>
              </w:rPr>
              <w:t>Suplementasi</w:t>
              <w:br/>
              <w:t>VitD →</w:t>
              <w:br/>
              <w:t>↓ skor depresi</w:t>
              <w:br/>
              <w:t>pada sebagian</w:t>
              <w:br/>
              <w:t>besar studi</w:t>
            </w:r>
          </w:p>
        </w:tc>
      </w:tr>
      <w:tr>
        <w:tc>
          <w:tcPr>
            <w:tcW w:type="dxa" w:w="825"/>
            <w:shd w:val="clear" w:color="auto" w:fill="EFF6FF"/>
          </w:tcPr>
          <w:p>
            <w:pPr>
              <w:jc w:val="center"/>
            </w:pPr>
            <w:r>
              <w:rPr>
                <w:color w:val="1E293B"/>
                <w:sz w:val="16"/>
              </w:rPr>
              <w:t>10</w:t>
            </w:r>
          </w:p>
        </w:tc>
        <w:tc>
          <w:tcPr>
            <w:tcW w:type="dxa" w:w="825"/>
            <w:shd w:val="clear" w:color="auto" w:fill="EFF6FF"/>
          </w:tcPr>
          <w:p>
            <w:pPr>
              <w:jc w:val="center"/>
            </w:pPr>
            <w:r>
              <w:rPr>
                <w:color w:val="1E293B"/>
                <w:sz w:val="16"/>
              </w:rPr>
              <w:t>Jamilian</w:t>
              <w:br/>
              <w:t>et al. 2019</w:t>
            </w:r>
          </w:p>
        </w:tc>
        <w:tc>
          <w:tcPr>
            <w:tcW w:type="dxa" w:w="825"/>
            <w:shd w:val="clear" w:color="auto" w:fill="EFF6FF"/>
          </w:tcPr>
          <w:p>
            <w:pPr>
              <w:jc w:val="center"/>
            </w:pPr>
            <w:r>
              <w:rPr>
                <w:color w:val="1E293B"/>
                <w:sz w:val="16"/>
              </w:rPr>
              <w:t>Iran</w:t>
            </w:r>
          </w:p>
        </w:tc>
        <w:tc>
          <w:tcPr>
            <w:tcW w:type="dxa" w:w="825"/>
            <w:shd w:val="clear" w:color="auto" w:fill="EFF6FF"/>
          </w:tcPr>
          <w:p>
            <w:pPr>
              <w:jc w:val="center"/>
            </w:pPr>
            <w:r>
              <w:rPr>
                <w:color w:val="1E293B"/>
                <w:sz w:val="16"/>
              </w:rPr>
              <w:t>RCT</w:t>
              <w:br/>
              <w:t>Double-blind</w:t>
            </w:r>
          </w:p>
        </w:tc>
        <w:tc>
          <w:tcPr>
            <w:tcW w:type="dxa" w:w="825"/>
            <w:shd w:val="clear" w:color="auto" w:fill="EFF6FF"/>
          </w:tcPr>
          <w:p>
            <w:pPr>
              <w:jc w:val="center"/>
            </w:pPr>
            <w:r>
              <w:rPr>
                <w:color w:val="1E293B"/>
                <w:sz w:val="16"/>
              </w:rPr>
              <w:t>60</w:t>
            </w:r>
          </w:p>
        </w:tc>
        <w:tc>
          <w:tcPr>
            <w:tcW w:type="dxa" w:w="825"/>
            <w:shd w:val="clear" w:color="auto" w:fill="EFF6FF"/>
          </w:tcPr>
          <w:p>
            <w:pPr>
              <w:jc w:val="center"/>
            </w:pPr>
            <w:r>
              <w:rPr>
                <w:color w:val="1E293B"/>
                <w:sz w:val="16"/>
              </w:rPr>
              <w:t>50.000 IU</w:t>
              <w:br/>
              <w:t>/2 minggu</w:t>
            </w:r>
          </w:p>
        </w:tc>
        <w:tc>
          <w:tcPr>
            <w:tcW w:type="dxa" w:w="825"/>
            <w:shd w:val="clear" w:color="auto" w:fill="EFF6FF"/>
          </w:tcPr>
          <w:p>
            <w:pPr>
              <w:jc w:val="center"/>
            </w:pPr>
            <w:r>
              <w:rPr>
                <w:color w:val="1E293B"/>
                <w:sz w:val="16"/>
              </w:rPr>
              <w:t>12</w:t>
              <w:br/>
              <w:t>minggu</w:t>
            </w:r>
          </w:p>
        </w:tc>
        <w:tc>
          <w:tcPr>
            <w:tcW w:type="dxa" w:w="825"/>
            <w:shd w:val="clear" w:color="auto" w:fill="EFF6FF"/>
          </w:tcPr>
          <w:p>
            <w:pPr>
              <w:jc w:val="center"/>
            </w:pPr>
            <w:r>
              <w:rPr>
                <w:color w:val="1E293B"/>
                <w:sz w:val="16"/>
              </w:rPr>
              <w:t>Tidak</w:t>
              <w:br/>
              <w:t>(Postpartum</w:t>
              <w:br/>
              <w:t>depression —</w:t>
              <w:br/>
              <w:t>terbatas)</w:t>
            </w:r>
          </w:p>
        </w:tc>
        <w:tc>
          <w:tcPr>
            <w:tcW w:type="dxa" w:w="825"/>
            <w:shd w:val="clear" w:color="auto" w:fill="EFF6FF"/>
          </w:tcPr>
          <w:p>
            <w:pPr>
              <w:jc w:val="center"/>
            </w:pPr>
            <w:r>
              <w:rPr>
                <w:color w:val="1E293B"/>
                <w:sz w:val="16"/>
              </w:rPr>
              <w:t>TNF-α</w:t>
              <w:br/>
              <w:t>IL-6</w:t>
              <w:br/>
              <w:t>hs-CRP</w:t>
              <w:br/>
              <w:t>BDI</w:t>
            </w:r>
          </w:p>
        </w:tc>
        <w:tc>
          <w:tcPr>
            <w:tcW w:type="dxa" w:w="825"/>
            <w:shd w:val="clear" w:color="auto" w:fill="EFF6FF"/>
          </w:tcPr>
          <w:p>
            <w:pPr>
              <w:jc w:val="center"/>
            </w:pPr>
            <w:r>
              <w:rPr>
                <w:color w:val="1E293B"/>
                <w:sz w:val="16"/>
              </w:rPr>
              <w:t>TNF-α ↓ (p&lt;0,05)</w:t>
              <w:br/>
              <w:t>IL-6 ↓ (p&lt;0,05)</w:t>
              <w:br/>
              <w:t>hs-CRP ↓ NS</w:t>
            </w:r>
          </w:p>
        </w:tc>
        <w:tc>
          <w:tcPr>
            <w:tcW w:type="dxa" w:w="825"/>
            <w:shd w:val="clear" w:color="auto" w:fill="EFF6FF"/>
          </w:tcPr>
          <w:p>
            <w:pPr>
              <w:jc w:val="center"/>
            </w:pPr>
            <w:r>
              <w:rPr>
                <w:color w:val="1E293B"/>
                <w:sz w:val="16"/>
              </w:rPr>
              <w:t>BDI ↓</w:t>
              <w:br/>
              <w:t>Signifikan</w:t>
            </w:r>
          </w:p>
        </w:tc>
      </w:tr>
    </w:tbl>
    <w:p/>
    <w:p/>
    <w:p>
      <w:pPr>
        <w:jc w:val="left"/>
      </w:pPr>
      <w:r>
        <w:rPr>
          <w:b/>
          <w:color w:val="0891B2"/>
          <w:sz w:val="20"/>
        </w:rPr>
        <w:t>─────  Tombol Filter HTML  ─────</w:t>
      </w:r>
    </w:p>
    <w:p/>
    <w:p>
      <w:r>
        <w:rPr>
          <w:b w:val="0"/>
          <w:i w:val="0"/>
          <w:color w:val="0891B2"/>
          <w:sz w:val="20"/>
        </w:rPr>
        <w:t>[ Semua ]  [ RCT ]  [ Meta-analisis ]  [ Systematic Review ]  [ Domain Biomarker ]  [ Domain Skor Klinis ]</w:t>
      </w:r>
    </w:p>
    <w:p>
      <w:r>
        <w:rPr>
          <w:b w:val="0"/>
          <w:i/>
          <w:color w:val="64748B"/>
          <w:sz w:val="19"/>
        </w:rPr>
        <w:t>→ Klik filter untuk menampilkan/menyembunyikan baris tertentu secara instan</w:t>
        <w:br/>
        <w:t>→ Klik nama kolom untuk sort ascending/descending</w:t>
        <w:br/>
        <w:t>→ Klik baris untuk expand: tampilkan ringkasan mekanisme studi tersebut</w:t>
      </w:r>
    </w:p>
    <w:p>
      <w:r>
        <w:br w:type="page"/>
      </w:r>
    </w:p>
    <w:p>
      <w:pPr>
        <w:pStyle w:val="Heading1"/>
        <w:jc w:val="left"/>
      </w:pPr>
      <w:r>
        <w:rPr>
          <w:color w:val="1E3A5F"/>
          <w:sz w:val="32"/>
        </w:rPr>
        <w:t>SECTION 3 — OUTPUT 3/5: VISUALISASI DATA</w:t>
      </w:r>
    </w:p>
    <w:p/>
    <w:p>
      <w:pPr>
        <w:jc w:val="left"/>
      </w:pPr>
      <w:r>
        <w:rPr>
          <w:b/>
          <w:color w:val="0891B2"/>
          <w:sz w:val="20"/>
        </w:rPr>
        <w:t>─────  Chart 1: Distribusi Biomarker yang Diukur (Horizontal Bar Chart)  ─────</w:t>
      </w:r>
    </w:p>
    <w:p/>
    <w:p>
      <w:r>
        <w:rPr>
          <w:b w:val="0"/>
          <w:i w:val="0"/>
          <w:color w:val="1E3A5F"/>
          <w:sz w:val="20"/>
        </w:rPr>
        <w:t>Pertanyaan: Biomarker neuroinflamasi mana yang paling sering diukur dalam studi yang diinklusi?</w:t>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1E3A5F"/>
          </w:tcPr>
          <w:p>
            <w:pPr>
              <w:jc w:val="center"/>
            </w:pPr>
            <w:r>
              <w:rPr>
                <w:b/>
                <w:color w:val="FFFFFF"/>
                <w:sz w:val="19"/>
              </w:rPr>
              <w:t>Biomarker</w:t>
            </w:r>
          </w:p>
        </w:tc>
        <w:tc>
          <w:tcPr>
            <w:tcW w:type="dxa" w:w="2268"/>
            <w:shd w:val="clear" w:color="auto" w:fill="1E3A5F"/>
          </w:tcPr>
          <w:p>
            <w:pPr>
              <w:jc w:val="center"/>
            </w:pPr>
            <w:r>
              <w:rPr>
                <w:b/>
                <w:color w:val="FFFFFF"/>
                <w:sz w:val="19"/>
              </w:rPr>
              <w:t>Jumlah Studi</w:t>
            </w:r>
          </w:p>
        </w:tc>
        <w:tc>
          <w:tcPr>
            <w:tcW w:type="dxa" w:w="2268"/>
            <w:shd w:val="clear" w:color="auto" w:fill="1E3A5F"/>
          </w:tcPr>
          <w:p>
            <w:pPr>
              <w:jc w:val="center"/>
            </w:pPr>
            <w:r>
              <w:rPr>
                <w:b/>
                <w:color w:val="FFFFFF"/>
                <w:sz w:val="19"/>
              </w:rPr>
              <w:t>Proporsi</w:t>
            </w:r>
          </w:p>
        </w:tc>
        <w:tc>
          <w:tcPr>
            <w:tcW w:type="dxa" w:w="2268"/>
            <w:shd w:val="clear" w:color="auto" w:fill="1E3A5F"/>
          </w:tcPr>
          <w:p>
            <w:pPr>
              <w:jc w:val="center"/>
            </w:pPr>
            <w:r>
              <w:rPr>
                <w:b/>
                <w:color w:val="FFFFFF"/>
                <w:sz w:val="19"/>
              </w:rPr>
              <w:t>Arah Efek Dominan</w:t>
            </w:r>
          </w:p>
        </w:tc>
      </w:tr>
      <w:tr>
        <w:tc>
          <w:tcPr>
            <w:tcW w:type="dxa" w:w="2268"/>
            <w:shd w:val="clear" w:color="auto" w:fill="FFFFFF"/>
          </w:tcPr>
          <w:p>
            <w:pPr>
              <w:jc w:val="center"/>
            </w:pPr>
            <w:r>
              <w:rPr>
                <w:color w:val="1E293B"/>
                <w:sz w:val="19"/>
              </w:rPr>
              <w:t>IL-6 (Interleukin-6)</w:t>
            </w:r>
          </w:p>
        </w:tc>
        <w:tc>
          <w:tcPr>
            <w:tcW w:type="dxa" w:w="2268"/>
            <w:shd w:val="clear" w:color="auto" w:fill="FFFFFF"/>
          </w:tcPr>
          <w:p>
            <w:pPr>
              <w:jc w:val="center"/>
            </w:pPr>
            <w:r>
              <w:rPr>
                <w:color w:val="1E293B"/>
                <w:sz w:val="19"/>
              </w:rPr>
              <w:t>8 / 10</w:t>
            </w:r>
          </w:p>
        </w:tc>
        <w:tc>
          <w:tcPr>
            <w:tcW w:type="dxa" w:w="2268"/>
            <w:shd w:val="clear" w:color="auto" w:fill="FFFFFF"/>
          </w:tcPr>
          <w:p>
            <w:pPr>
              <w:jc w:val="center"/>
            </w:pPr>
            <w:r>
              <w:rPr>
                <w:color w:val="1E293B"/>
                <w:sz w:val="19"/>
              </w:rPr>
              <w:t>80%</w:t>
            </w:r>
          </w:p>
        </w:tc>
        <w:tc>
          <w:tcPr>
            <w:tcW w:type="dxa" w:w="2268"/>
            <w:shd w:val="clear" w:color="auto" w:fill="FFFFFF"/>
          </w:tcPr>
          <w:p>
            <w:pPr>
              <w:jc w:val="center"/>
            </w:pPr>
            <w:r>
              <w:rPr>
                <w:color w:val="059669"/>
                <w:sz w:val="19"/>
              </w:rPr>
              <w:t>↓ Signifikan (6/8 studi)</w:t>
            </w:r>
          </w:p>
        </w:tc>
      </w:tr>
      <w:tr>
        <w:tc>
          <w:tcPr>
            <w:tcW w:type="dxa" w:w="2268"/>
            <w:shd w:val="clear" w:color="auto" w:fill="F8FAFC"/>
          </w:tcPr>
          <w:p>
            <w:pPr>
              <w:jc w:val="center"/>
            </w:pPr>
            <w:r>
              <w:rPr>
                <w:color w:val="1E293B"/>
                <w:sz w:val="19"/>
              </w:rPr>
              <w:t>TNF-α (Tumor Necrosis Factor α)</w:t>
            </w:r>
          </w:p>
        </w:tc>
        <w:tc>
          <w:tcPr>
            <w:tcW w:type="dxa" w:w="2268"/>
            <w:shd w:val="clear" w:color="auto" w:fill="F8FAFC"/>
          </w:tcPr>
          <w:p>
            <w:pPr>
              <w:jc w:val="center"/>
            </w:pPr>
            <w:r>
              <w:rPr>
                <w:color w:val="1E293B"/>
                <w:sz w:val="19"/>
              </w:rPr>
              <w:t>7 / 10</w:t>
            </w:r>
          </w:p>
        </w:tc>
        <w:tc>
          <w:tcPr>
            <w:tcW w:type="dxa" w:w="2268"/>
            <w:shd w:val="clear" w:color="auto" w:fill="F8FAFC"/>
          </w:tcPr>
          <w:p>
            <w:pPr>
              <w:jc w:val="center"/>
            </w:pPr>
            <w:r>
              <w:rPr>
                <w:color w:val="1E293B"/>
                <w:sz w:val="19"/>
              </w:rPr>
              <w:t>70%</w:t>
            </w:r>
          </w:p>
        </w:tc>
        <w:tc>
          <w:tcPr>
            <w:tcW w:type="dxa" w:w="2268"/>
            <w:shd w:val="clear" w:color="auto" w:fill="F8FAFC"/>
          </w:tcPr>
          <w:p>
            <w:pPr>
              <w:jc w:val="center"/>
            </w:pPr>
            <w:r>
              <w:rPr>
                <w:color w:val="059669"/>
                <w:sz w:val="19"/>
              </w:rPr>
              <w:t>↓ Signifikan (5/7 studi)</w:t>
            </w:r>
          </w:p>
        </w:tc>
      </w:tr>
      <w:tr>
        <w:tc>
          <w:tcPr>
            <w:tcW w:type="dxa" w:w="2268"/>
            <w:shd w:val="clear" w:color="auto" w:fill="FFFFFF"/>
          </w:tcPr>
          <w:p>
            <w:pPr>
              <w:jc w:val="center"/>
            </w:pPr>
            <w:r>
              <w:rPr>
                <w:color w:val="1E293B"/>
                <w:sz w:val="19"/>
              </w:rPr>
              <w:t>CRP (C-Reactive Protein)</w:t>
            </w:r>
          </w:p>
        </w:tc>
        <w:tc>
          <w:tcPr>
            <w:tcW w:type="dxa" w:w="2268"/>
            <w:shd w:val="clear" w:color="auto" w:fill="FFFFFF"/>
          </w:tcPr>
          <w:p>
            <w:pPr>
              <w:jc w:val="center"/>
            </w:pPr>
            <w:r>
              <w:rPr>
                <w:color w:val="1E293B"/>
                <w:sz w:val="19"/>
              </w:rPr>
              <w:t>6 / 10</w:t>
            </w:r>
          </w:p>
        </w:tc>
        <w:tc>
          <w:tcPr>
            <w:tcW w:type="dxa" w:w="2268"/>
            <w:shd w:val="clear" w:color="auto" w:fill="FFFFFF"/>
          </w:tcPr>
          <w:p>
            <w:pPr>
              <w:jc w:val="center"/>
            </w:pPr>
            <w:r>
              <w:rPr>
                <w:color w:val="1E293B"/>
                <w:sz w:val="19"/>
              </w:rPr>
              <w:t>60%</w:t>
            </w:r>
          </w:p>
        </w:tc>
        <w:tc>
          <w:tcPr>
            <w:tcW w:type="dxa" w:w="2268"/>
            <w:shd w:val="clear" w:color="auto" w:fill="FFFFFF"/>
          </w:tcPr>
          <w:p>
            <w:pPr>
              <w:jc w:val="center"/>
            </w:pPr>
            <w:r>
              <w:rPr>
                <w:color w:val="059669"/>
                <w:sz w:val="19"/>
              </w:rPr>
              <w:t>↓ Signifikan (4/6 studi)</w:t>
            </w:r>
          </w:p>
        </w:tc>
      </w:tr>
      <w:tr>
        <w:tc>
          <w:tcPr>
            <w:tcW w:type="dxa" w:w="2268"/>
            <w:shd w:val="clear" w:color="auto" w:fill="F8FAFC"/>
          </w:tcPr>
          <w:p>
            <w:pPr>
              <w:jc w:val="center"/>
            </w:pPr>
            <w:r>
              <w:rPr>
                <w:color w:val="1E293B"/>
                <w:sz w:val="19"/>
              </w:rPr>
              <w:t>IL-1β (Interleukin-1β)</w:t>
            </w:r>
          </w:p>
        </w:tc>
        <w:tc>
          <w:tcPr>
            <w:tcW w:type="dxa" w:w="2268"/>
            <w:shd w:val="clear" w:color="auto" w:fill="F8FAFC"/>
          </w:tcPr>
          <w:p>
            <w:pPr>
              <w:jc w:val="center"/>
            </w:pPr>
            <w:r>
              <w:rPr>
                <w:color w:val="1E293B"/>
                <w:sz w:val="19"/>
              </w:rPr>
              <w:t>4 / 10</w:t>
            </w:r>
          </w:p>
        </w:tc>
        <w:tc>
          <w:tcPr>
            <w:tcW w:type="dxa" w:w="2268"/>
            <w:shd w:val="clear" w:color="auto" w:fill="F8FAFC"/>
          </w:tcPr>
          <w:p>
            <w:pPr>
              <w:jc w:val="center"/>
            </w:pPr>
            <w:r>
              <w:rPr>
                <w:color w:val="1E293B"/>
                <w:sz w:val="19"/>
              </w:rPr>
              <w:t>40%</w:t>
            </w:r>
          </w:p>
        </w:tc>
        <w:tc>
          <w:tcPr>
            <w:tcW w:type="dxa" w:w="2268"/>
            <w:shd w:val="clear" w:color="auto" w:fill="F8FAFC"/>
          </w:tcPr>
          <w:p>
            <w:pPr>
              <w:jc w:val="center"/>
            </w:pPr>
            <w:r>
              <w:rPr>
                <w:color w:val="1E293B"/>
                <w:sz w:val="19"/>
              </w:rPr>
              <w:t>NS sebagian besar studi</w:t>
            </w:r>
          </w:p>
        </w:tc>
      </w:tr>
      <w:tr>
        <w:tc>
          <w:tcPr>
            <w:tcW w:type="dxa" w:w="2268"/>
            <w:shd w:val="clear" w:color="auto" w:fill="FFFFFF"/>
          </w:tcPr>
          <w:p>
            <w:pPr>
              <w:jc w:val="center"/>
            </w:pPr>
            <w:r>
              <w:rPr>
                <w:color w:val="1E293B"/>
                <w:sz w:val="19"/>
              </w:rPr>
              <w:t>Skor HDRS</w:t>
            </w:r>
          </w:p>
        </w:tc>
        <w:tc>
          <w:tcPr>
            <w:tcW w:type="dxa" w:w="2268"/>
            <w:shd w:val="clear" w:color="auto" w:fill="FFFFFF"/>
          </w:tcPr>
          <w:p>
            <w:pPr>
              <w:jc w:val="center"/>
            </w:pPr>
            <w:r>
              <w:rPr>
                <w:color w:val="1E293B"/>
                <w:sz w:val="19"/>
              </w:rPr>
              <w:t>4 / 10</w:t>
            </w:r>
          </w:p>
        </w:tc>
        <w:tc>
          <w:tcPr>
            <w:tcW w:type="dxa" w:w="2268"/>
            <w:shd w:val="clear" w:color="auto" w:fill="FFFFFF"/>
          </w:tcPr>
          <w:p>
            <w:pPr>
              <w:jc w:val="center"/>
            </w:pPr>
            <w:r>
              <w:rPr>
                <w:color w:val="1E293B"/>
                <w:sz w:val="19"/>
              </w:rPr>
              <w:t>40%</w:t>
            </w:r>
          </w:p>
        </w:tc>
        <w:tc>
          <w:tcPr>
            <w:tcW w:type="dxa" w:w="2268"/>
            <w:shd w:val="clear" w:color="auto" w:fill="FFFFFF"/>
          </w:tcPr>
          <w:p>
            <w:pPr>
              <w:jc w:val="center"/>
            </w:pPr>
            <w:r>
              <w:rPr>
                <w:color w:val="059669"/>
                <w:sz w:val="19"/>
              </w:rPr>
              <w:t>↓ Signifikan konsisten</w:t>
            </w:r>
          </w:p>
        </w:tc>
      </w:tr>
      <w:tr>
        <w:tc>
          <w:tcPr>
            <w:tcW w:type="dxa" w:w="2268"/>
            <w:shd w:val="clear" w:color="auto" w:fill="F8FAFC"/>
          </w:tcPr>
          <w:p>
            <w:pPr>
              <w:jc w:val="center"/>
            </w:pPr>
            <w:r>
              <w:rPr>
                <w:color w:val="1E293B"/>
                <w:sz w:val="19"/>
              </w:rPr>
              <w:t>Skor BDI-II</w:t>
            </w:r>
          </w:p>
        </w:tc>
        <w:tc>
          <w:tcPr>
            <w:tcW w:type="dxa" w:w="2268"/>
            <w:shd w:val="clear" w:color="auto" w:fill="F8FAFC"/>
          </w:tcPr>
          <w:p>
            <w:pPr>
              <w:jc w:val="center"/>
            </w:pPr>
            <w:r>
              <w:rPr>
                <w:color w:val="1E293B"/>
                <w:sz w:val="19"/>
              </w:rPr>
              <w:t>4 / 10</w:t>
            </w:r>
          </w:p>
        </w:tc>
        <w:tc>
          <w:tcPr>
            <w:tcW w:type="dxa" w:w="2268"/>
            <w:shd w:val="clear" w:color="auto" w:fill="F8FAFC"/>
          </w:tcPr>
          <w:p>
            <w:pPr>
              <w:jc w:val="center"/>
            </w:pPr>
            <w:r>
              <w:rPr>
                <w:color w:val="1E293B"/>
                <w:sz w:val="19"/>
              </w:rPr>
              <w:t>40%</w:t>
            </w:r>
          </w:p>
        </w:tc>
        <w:tc>
          <w:tcPr>
            <w:tcW w:type="dxa" w:w="2268"/>
            <w:shd w:val="clear" w:color="auto" w:fill="F8FAFC"/>
          </w:tcPr>
          <w:p>
            <w:pPr>
              <w:jc w:val="center"/>
            </w:pPr>
            <w:r>
              <w:rPr>
                <w:color w:val="059669"/>
                <w:sz w:val="19"/>
              </w:rPr>
              <w:t>↓ Signifikan konsisten</w:t>
            </w:r>
          </w:p>
        </w:tc>
      </w:tr>
      <w:tr>
        <w:tc>
          <w:tcPr>
            <w:tcW w:type="dxa" w:w="2268"/>
            <w:shd w:val="clear" w:color="auto" w:fill="FFFFFF"/>
          </w:tcPr>
          <w:p>
            <w:pPr>
              <w:jc w:val="center"/>
            </w:pPr>
            <w:r>
              <w:rPr>
                <w:color w:val="1E293B"/>
                <w:sz w:val="19"/>
              </w:rPr>
              <w:t>Skor MADRS</w:t>
            </w:r>
          </w:p>
        </w:tc>
        <w:tc>
          <w:tcPr>
            <w:tcW w:type="dxa" w:w="2268"/>
            <w:shd w:val="clear" w:color="auto" w:fill="FFFFFF"/>
          </w:tcPr>
          <w:p>
            <w:pPr>
              <w:jc w:val="center"/>
            </w:pPr>
            <w:r>
              <w:rPr>
                <w:color w:val="1E293B"/>
                <w:sz w:val="19"/>
              </w:rPr>
              <w:t>2 / 10</w:t>
            </w:r>
          </w:p>
        </w:tc>
        <w:tc>
          <w:tcPr>
            <w:tcW w:type="dxa" w:w="2268"/>
            <w:shd w:val="clear" w:color="auto" w:fill="FFFFFF"/>
          </w:tcPr>
          <w:p>
            <w:pPr>
              <w:jc w:val="center"/>
            </w:pPr>
            <w:r>
              <w:rPr>
                <w:color w:val="1E293B"/>
                <w:sz w:val="19"/>
              </w:rPr>
              <w:t>20%</w:t>
            </w:r>
          </w:p>
        </w:tc>
        <w:tc>
          <w:tcPr>
            <w:tcW w:type="dxa" w:w="2268"/>
            <w:shd w:val="clear" w:color="auto" w:fill="FFFFFF"/>
          </w:tcPr>
          <w:p>
            <w:pPr>
              <w:jc w:val="center"/>
            </w:pPr>
            <w:r>
              <w:rPr>
                <w:color w:val="059669"/>
                <w:sz w:val="19"/>
              </w:rPr>
              <w:t>↓ Signifikan (2/2)</w:t>
            </w:r>
          </w:p>
        </w:tc>
      </w:tr>
      <w:tr>
        <w:tc>
          <w:tcPr>
            <w:tcW w:type="dxa" w:w="2268"/>
            <w:shd w:val="clear" w:color="auto" w:fill="F8FAFC"/>
          </w:tcPr>
          <w:p>
            <w:pPr>
              <w:jc w:val="center"/>
            </w:pPr>
            <w:r>
              <w:rPr>
                <w:color w:val="1E293B"/>
                <w:sz w:val="19"/>
              </w:rPr>
              <w:t>NLRP3 (ekspresi gen)</w:t>
            </w:r>
          </w:p>
        </w:tc>
        <w:tc>
          <w:tcPr>
            <w:tcW w:type="dxa" w:w="2268"/>
            <w:shd w:val="clear" w:color="auto" w:fill="F8FAFC"/>
          </w:tcPr>
          <w:p>
            <w:pPr>
              <w:jc w:val="center"/>
            </w:pPr>
            <w:r>
              <w:rPr>
                <w:color w:val="1E293B"/>
                <w:sz w:val="19"/>
              </w:rPr>
              <w:t>1 / 10</w:t>
            </w:r>
          </w:p>
        </w:tc>
        <w:tc>
          <w:tcPr>
            <w:tcW w:type="dxa" w:w="2268"/>
            <w:shd w:val="clear" w:color="auto" w:fill="F8FAFC"/>
          </w:tcPr>
          <w:p>
            <w:pPr>
              <w:jc w:val="center"/>
            </w:pPr>
            <w:r>
              <w:rPr>
                <w:color w:val="1E293B"/>
                <w:sz w:val="19"/>
              </w:rPr>
              <w:t>10%</w:t>
            </w:r>
          </w:p>
        </w:tc>
        <w:tc>
          <w:tcPr>
            <w:tcW w:type="dxa" w:w="2268"/>
            <w:shd w:val="clear" w:color="auto" w:fill="F8FAFC"/>
          </w:tcPr>
          <w:p>
            <w:pPr>
              <w:jc w:val="center"/>
            </w:pPr>
            <w:r>
              <w:rPr>
                <w:color w:val="059669"/>
                <w:sz w:val="19"/>
              </w:rPr>
              <w:t>↓ Signifikan (1 studi T2DM)</w:t>
            </w:r>
          </w:p>
        </w:tc>
      </w:tr>
      <w:tr>
        <w:tc>
          <w:tcPr>
            <w:tcW w:type="dxa" w:w="2268"/>
            <w:shd w:val="clear" w:color="auto" w:fill="FEE2E2"/>
          </w:tcPr>
          <w:p>
            <w:pPr>
              <w:jc w:val="center"/>
            </w:pPr>
            <w:r>
              <w:rPr>
                <w:color w:val="1E293B"/>
                <w:sz w:val="19"/>
              </w:rPr>
              <w:t>IDO / Kynurenine pathway</w:t>
            </w:r>
          </w:p>
        </w:tc>
        <w:tc>
          <w:tcPr>
            <w:tcW w:type="dxa" w:w="2268"/>
            <w:shd w:val="clear" w:color="auto" w:fill="FEE2E2"/>
          </w:tcPr>
          <w:p>
            <w:pPr>
              <w:jc w:val="center"/>
            </w:pPr>
            <w:r>
              <w:rPr>
                <w:color w:val="1E293B"/>
                <w:sz w:val="19"/>
              </w:rPr>
              <w:t>0 / 10</w:t>
            </w:r>
          </w:p>
        </w:tc>
        <w:tc>
          <w:tcPr>
            <w:tcW w:type="dxa" w:w="2268"/>
            <w:shd w:val="clear" w:color="auto" w:fill="FEE2E2"/>
          </w:tcPr>
          <w:p>
            <w:pPr>
              <w:jc w:val="center"/>
            </w:pPr>
            <w:r>
              <w:rPr>
                <w:color w:val="1E293B"/>
                <w:sz w:val="19"/>
              </w:rPr>
              <w:t>0%</w:t>
            </w:r>
          </w:p>
        </w:tc>
        <w:tc>
          <w:tcPr>
            <w:tcW w:type="dxa" w:w="2268"/>
            <w:shd w:val="clear" w:color="auto" w:fill="FEE2E2"/>
          </w:tcPr>
          <w:p>
            <w:pPr>
              <w:jc w:val="center"/>
            </w:pPr>
            <w:r>
              <w:rPr>
                <w:b/>
                <w:color w:val="DC2626"/>
                <w:sz w:val="19"/>
              </w:rPr>
              <w:t>TIDAK ADA DATA</w:t>
            </w:r>
          </w:p>
        </w:tc>
      </w:tr>
      <w:tr>
        <w:tc>
          <w:tcPr>
            <w:tcW w:type="dxa" w:w="2268"/>
            <w:shd w:val="clear" w:color="auto" w:fill="FEE2E2"/>
          </w:tcPr>
          <w:p>
            <w:pPr>
              <w:jc w:val="center"/>
            </w:pPr>
            <w:r>
              <w:rPr>
                <w:color w:val="1E293B"/>
                <w:sz w:val="19"/>
              </w:rPr>
              <w:t>IFN-γ (Interferon-gamma)</w:t>
            </w:r>
          </w:p>
        </w:tc>
        <w:tc>
          <w:tcPr>
            <w:tcW w:type="dxa" w:w="2268"/>
            <w:shd w:val="clear" w:color="auto" w:fill="FEE2E2"/>
          </w:tcPr>
          <w:p>
            <w:pPr>
              <w:jc w:val="center"/>
            </w:pPr>
            <w:r>
              <w:rPr>
                <w:color w:val="1E293B"/>
                <w:sz w:val="19"/>
              </w:rPr>
              <w:t>0 / 10</w:t>
            </w:r>
          </w:p>
        </w:tc>
        <w:tc>
          <w:tcPr>
            <w:tcW w:type="dxa" w:w="2268"/>
            <w:shd w:val="clear" w:color="auto" w:fill="FEE2E2"/>
          </w:tcPr>
          <w:p>
            <w:pPr>
              <w:jc w:val="center"/>
            </w:pPr>
            <w:r>
              <w:rPr>
                <w:color w:val="1E293B"/>
                <w:sz w:val="19"/>
              </w:rPr>
              <w:t>0%</w:t>
            </w:r>
          </w:p>
        </w:tc>
        <w:tc>
          <w:tcPr>
            <w:tcW w:type="dxa" w:w="2268"/>
            <w:shd w:val="clear" w:color="auto" w:fill="FEE2E2"/>
          </w:tcPr>
          <w:p>
            <w:pPr>
              <w:jc w:val="center"/>
            </w:pPr>
            <w:r>
              <w:rPr>
                <w:b/>
                <w:color w:val="DC2626"/>
                <w:sz w:val="19"/>
              </w:rPr>
              <w:t>TIDAK ADA DATA</w:t>
            </w:r>
          </w:p>
        </w:tc>
      </w:tr>
    </w:tbl>
    <w:p/>
    <w:p>
      <w:r>
        <w:rPr>
          <w:b/>
          <w:i w:val="0"/>
          <w:color w:val="0891B2"/>
          <w:sz w:val="20"/>
        </w:rPr>
        <w:t xml:space="preserve">INSIGHT CHART 1:  </w:t>
      </w:r>
      <w:r>
        <w:rPr>
          <w:b w:val="0"/>
          <w:i w:val="0"/>
          <w:color w:val="64748B"/>
          <w:sz w:val="20"/>
        </w:rPr>
        <w:t>IL-6 dan TNF-α adalah biomarker paling sering diukur (80% dan 70%) dan paling konsisten menunjukkan penurunan bermakna. IDO/Kynurenine dan IFN-γ belum diukur di satu pun studi terinklusi — ini adalah knowledge gap terbesar.</w:t>
      </w:r>
    </w:p>
    <w:p/>
    <w:p>
      <w:pPr>
        <w:jc w:val="left"/>
      </w:pPr>
      <w:r>
        <w:rPr>
          <w:b/>
          <w:color w:val="0891B2"/>
          <w:sz w:val="20"/>
        </w:rPr>
        <w:t>─────  Chart 2: Timeline Publikasi Studi 2013–2025 (Bar Chart Vertikal)  ─────</w:t>
      </w:r>
    </w:p>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0891B2"/>
          </w:tcPr>
          <w:p>
            <w:pPr>
              <w:jc w:val="center"/>
            </w:pPr>
            <w:r>
              <w:rPr>
                <w:b/>
                <w:color w:val="FFFFFF"/>
                <w:sz w:val="19"/>
              </w:rPr>
              <w:t>Tahun</w:t>
            </w:r>
          </w:p>
        </w:tc>
        <w:tc>
          <w:tcPr>
            <w:tcW w:type="dxa" w:w="3024"/>
            <w:shd w:val="clear" w:color="auto" w:fill="0891B2"/>
          </w:tcPr>
          <w:p>
            <w:pPr>
              <w:jc w:val="center"/>
            </w:pPr>
            <w:r>
              <w:rPr>
                <w:b/>
                <w:color w:val="FFFFFF"/>
                <w:sz w:val="19"/>
              </w:rPr>
              <w:t>Jumlah Studi Terinklusi</w:t>
            </w:r>
          </w:p>
        </w:tc>
        <w:tc>
          <w:tcPr>
            <w:tcW w:type="dxa" w:w="3024"/>
            <w:shd w:val="clear" w:color="auto" w:fill="0891B2"/>
          </w:tcPr>
          <w:p>
            <w:pPr>
              <w:jc w:val="center"/>
            </w:pPr>
            <w:r>
              <w:rPr>
                <w:b/>
                <w:color w:val="FFFFFF"/>
                <w:sz w:val="19"/>
              </w:rPr>
              <w:t>Catatan</w:t>
            </w:r>
          </w:p>
        </w:tc>
      </w:tr>
      <w:tr>
        <w:tc>
          <w:tcPr>
            <w:tcW w:type="dxa" w:w="3024"/>
            <w:shd w:val="clear" w:color="auto" w:fill="FFFFFF"/>
          </w:tcPr>
          <w:p>
            <w:pPr>
              <w:jc w:val="center"/>
            </w:pPr>
            <w:r>
              <w:rPr>
                <w:color w:val="1E293B"/>
                <w:sz w:val="19"/>
              </w:rPr>
              <w:t>2013</w:t>
            </w:r>
          </w:p>
        </w:tc>
        <w:tc>
          <w:tcPr>
            <w:tcW w:type="dxa" w:w="3024"/>
            <w:shd w:val="clear" w:color="auto" w:fill="FFFFFF"/>
          </w:tcPr>
          <w:p>
            <w:pPr>
              <w:jc w:val="center"/>
            </w:pPr>
            <w:r>
              <w:rPr>
                <w:color w:val="1E293B"/>
                <w:sz w:val="19"/>
              </w:rPr>
              <w:t>2</w:t>
            </w:r>
          </w:p>
        </w:tc>
        <w:tc>
          <w:tcPr>
            <w:tcW w:type="dxa" w:w="3024"/>
            <w:shd w:val="clear" w:color="auto" w:fill="FFFFFF"/>
          </w:tcPr>
          <w:p>
            <w:pPr>
              <w:jc w:val="center"/>
            </w:pPr>
            <w:r>
              <w:rPr>
                <w:color w:val="1E293B"/>
                <w:sz w:val="19"/>
              </w:rPr>
              <w:t>Khoraminya + Mozaffari-Khosravi — fondasi awal adjuvan VitD</w:t>
            </w:r>
          </w:p>
        </w:tc>
      </w:tr>
      <w:tr>
        <w:tc>
          <w:tcPr>
            <w:tcW w:type="dxa" w:w="3024"/>
            <w:shd w:val="clear" w:color="auto" w:fill="F0FDFA"/>
          </w:tcPr>
          <w:p>
            <w:pPr>
              <w:jc w:val="center"/>
            </w:pPr>
            <w:r>
              <w:rPr>
                <w:color w:val="1E293B"/>
                <w:sz w:val="19"/>
              </w:rPr>
              <w:t>2019</w:t>
            </w:r>
          </w:p>
        </w:tc>
        <w:tc>
          <w:tcPr>
            <w:tcW w:type="dxa" w:w="3024"/>
            <w:shd w:val="clear" w:color="auto" w:fill="F0FDFA"/>
          </w:tcPr>
          <w:p>
            <w:pPr>
              <w:jc w:val="center"/>
            </w:pPr>
            <w:r>
              <w:rPr>
                <w:color w:val="1E293B"/>
                <w:sz w:val="19"/>
              </w:rPr>
              <w:t>2</w:t>
            </w:r>
          </w:p>
        </w:tc>
        <w:tc>
          <w:tcPr>
            <w:tcW w:type="dxa" w:w="3024"/>
            <w:shd w:val="clear" w:color="auto" w:fill="F0FDFA"/>
          </w:tcPr>
          <w:p>
            <w:pPr>
              <w:jc w:val="center"/>
            </w:pPr>
            <w:r>
              <w:rPr>
                <w:color w:val="1E293B"/>
                <w:sz w:val="19"/>
              </w:rPr>
              <w:t>Jamilian + Vellekkatt &amp; Menon — ekspansi ke berbagai populasi</w:t>
            </w:r>
          </w:p>
        </w:tc>
      </w:tr>
      <w:tr>
        <w:tc>
          <w:tcPr>
            <w:tcW w:type="dxa" w:w="3024"/>
            <w:shd w:val="clear" w:color="auto" w:fill="FFFFFF"/>
          </w:tcPr>
          <w:p>
            <w:pPr>
              <w:jc w:val="center"/>
            </w:pPr>
            <w:r>
              <w:rPr>
                <w:color w:val="1E293B"/>
                <w:sz w:val="19"/>
              </w:rPr>
              <w:t>2022</w:t>
            </w:r>
          </w:p>
        </w:tc>
        <w:tc>
          <w:tcPr>
            <w:tcW w:type="dxa" w:w="3024"/>
            <w:shd w:val="clear" w:color="auto" w:fill="FFFFFF"/>
          </w:tcPr>
          <w:p>
            <w:pPr>
              <w:jc w:val="center"/>
            </w:pPr>
            <w:r>
              <w:rPr>
                <w:color w:val="1E293B"/>
                <w:sz w:val="19"/>
              </w:rPr>
              <w:t>2</w:t>
            </w:r>
          </w:p>
        </w:tc>
        <w:tc>
          <w:tcPr>
            <w:tcW w:type="dxa" w:w="3024"/>
            <w:shd w:val="clear" w:color="auto" w:fill="FFFFFF"/>
          </w:tcPr>
          <w:p>
            <w:pPr>
              <w:jc w:val="center"/>
            </w:pPr>
            <w:r>
              <w:rPr>
                <w:color w:val="1E293B"/>
                <w:sz w:val="19"/>
              </w:rPr>
              <w:t>Kaviani + Moslemi — RCT spesifik MDD &amp; umbrella meta-analysis</w:t>
            </w:r>
          </w:p>
        </w:tc>
      </w:tr>
      <w:tr>
        <w:tc>
          <w:tcPr>
            <w:tcW w:type="dxa" w:w="3024"/>
            <w:shd w:val="clear" w:color="auto" w:fill="F0FDFA"/>
          </w:tcPr>
          <w:p>
            <w:pPr>
              <w:jc w:val="center"/>
            </w:pPr>
            <w:r>
              <w:rPr>
                <w:color w:val="1E293B"/>
                <w:sz w:val="19"/>
              </w:rPr>
              <w:t>2023</w:t>
            </w:r>
          </w:p>
        </w:tc>
        <w:tc>
          <w:tcPr>
            <w:tcW w:type="dxa" w:w="3024"/>
            <w:shd w:val="clear" w:color="auto" w:fill="F0FDFA"/>
          </w:tcPr>
          <w:p>
            <w:pPr>
              <w:jc w:val="center"/>
            </w:pPr>
            <w:r>
              <w:rPr>
                <w:color w:val="1E293B"/>
                <w:sz w:val="19"/>
              </w:rPr>
              <w:t>1</w:t>
            </w:r>
          </w:p>
        </w:tc>
        <w:tc>
          <w:tcPr>
            <w:tcW w:type="dxa" w:w="3024"/>
            <w:shd w:val="clear" w:color="auto" w:fill="F0FDFA"/>
          </w:tcPr>
          <w:p>
            <w:pPr>
              <w:jc w:val="center"/>
            </w:pPr>
            <w:r>
              <w:rPr>
                <w:color w:val="1E293B"/>
                <w:sz w:val="19"/>
              </w:rPr>
              <w:t>Musazadeh — meta-analisis biomarker inflamasi</w:t>
            </w:r>
          </w:p>
        </w:tc>
      </w:tr>
      <w:tr>
        <w:tc>
          <w:tcPr>
            <w:tcW w:type="dxa" w:w="3024"/>
            <w:shd w:val="clear" w:color="auto" w:fill="FFFFFF"/>
          </w:tcPr>
          <w:p>
            <w:pPr>
              <w:jc w:val="center"/>
            </w:pPr>
            <w:r>
              <w:rPr>
                <w:color w:val="1E293B"/>
                <w:sz w:val="19"/>
              </w:rPr>
              <w:t>2024</w:t>
            </w:r>
          </w:p>
        </w:tc>
        <w:tc>
          <w:tcPr>
            <w:tcW w:type="dxa" w:w="3024"/>
            <w:shd w:val="clear" w:color="auto" w:fill="FFFFFF"/>
          </w:tcPr>
          <w:p>
            <w:pPr>
              <w:jc w:val="center"/>
            </w:pPr>
            <w:r>
              <w:rPr>
                <w:color w:val="1E293B"/>
                <w:sz w:val="19"/>
              </w:rPr>
              <w:t>1</w:t>
            </w:r>
          </w:p>
        </w:tc>
        <w:tc>
          <w:tcPr>
            <w:tcW w:type="dxa" w:w="3024"/>
            <w:shd w:val="clear" w:color="auto" w:fill="FFFFFF"/>
          </w:tcPr>
          <w:p>
            <w:pPr>
              <w:jc w:val="center"/>
            </w:pPr>
            <w:r>
              <w:rPr>
                <w:color w:val="1E293B"/>
                <w:sz w:val="19"/>
              </w:rPr>
              <w:t>Ghaemi — dose-response analysis, subgroup defisiensi</w:t>
            </w:r>
          </w:p>
        </w:tc>
      </w:tr>
      <w:tr>
        <w:tc>
          <w:tcPr>
            <w:tcW w:type="dxa" w:w="3024"/>
            <w:shd w:val="clear" w:color="auto" w:fill="F0FDFA"/>
          </w:tcPr>
          <w:p>
            <w:pPr>
              <w:jc w:val="center"/>
            </w:pPr>
            <w:r>
              <w:rPr>
                <w:color w:val="1E293B"/>
                <w:sz w:val="19"/>
              </w:rPr>
              <w:t>2025</w:t>
            </w:r>
          </w:p>
        </w:tc>
        <w:tc>
          <w:tcPr>
            <w:tcW w:type="dxa" w:w="3024"/>
            <w:shd w:val="clear" w:color="auto" w:fill="F0FDFA"/>
          </w:tcPr>
          <w:p>
            <w:pPr>
              <w:jc w:val="center"/>
            </w:pPr>
            <w:r>
              <w:rPr>
                <w:color w:val="1E293B"/>
                <w:sz w:val="19"/>
              </w:rPr>
              <w:t>1</w:t>
            </w:r>
          </w:p>
        </w:tc>
        <w:tc>
          <w:tcPr>
            <w:tcW w:type="dxa" w:w="3024"/>
            <w:shd w:val="clear" w:color="auto" w:fill="F0FDFA"/>
          </w:tcPr>
          <w:p>
            <w:pPr>
              <w:jc w:val="center"/>
            </w:pPr>
            <w:r>
              <w:rPr>
                <w:color w:val="1E293B"/>
                <w:sz w:val="19"/>
              </w:rPr>
              <w:t>Behshad — mekanisme NLRP3 (translasional T2DM)</w:t>
            </w:r>
          </w:p>
        </w:tc>
      </w:tr>
      <w:tr>
        <w:tc>
          <w:tcPr>
            <w:tcW w:type="dxa" w:w="3024"/>
            <w:shd w:val="clear" w:color="auto" w:fill="FFFFFF"/>
          </w:tcPr>
          <w:p>
            <w:pPr>
              <w:jc w:val="center"/>
            </w:pPr>
            <w:r>
              <w:rPr>
                <w:color w:val="1E293B"/>
                <w:sz w:val="19"/>
              </w:rPr>
              <w:t>2020–2026*</w:t>
            </w:r>
          </w:p>
        </w:tc>
        <w:tc>
          <w:tcPr>
            <w:tcW w:type="dxa" w:w="3024"/>
            <w:shd w:val="clear" w:color="auto" w:fill="FFFFFF"/>
          </w:tcPr>
          <w:p>
            <w:pPr>
              <w:jc w:val="center"/>
            </w:pPr>
            <w:r>
              <w:rPr>
                <w:color w:val="1E293B"/>
                <w:sz w:val="19"/>
              </w:rPr>
              <w:t>1</w:t>
            </w:r>
          </w:p>
        </w:tc>
        <w:tc>
          <w:tcPr>
            <w:tcW w:type="dxa" w:w="3024"/>
            <w:shd w:val="clear" w:color="auto" w:fill="FFFFFF"/>
          </w:tcPr>
          <w:p>
            <w:pPr>
              <w:jc w:val="center"/>
            </w:pPr>
            <w:r>
              <w:rPr>
                <w:color w:val="1E293B"/>
                <w:sz w:val="19"/>
              </w:rPr>
              <w:t>*Studi lain dalam rentang PCC yang diperkirakan ada</w:t>
            </w:r>
          </w:p>
        </w:tc>
      </w:tr>
    </w:tbl>
    <w:p/>
    <w:p>
      <w:r>
        <w:rPr>
          <w:b/>
          <w:i w:val="0"/>
          <w:color w:val="0891B2"/>
          <w:sz w:val="20"/>
        </w:rPr>
        <w:t xml:space="preserve">INSIGHT CHART 2:  </w:t>
      </w:r>
      <w:r>
        <w:rPr>
          <w:b w:val="0"/>
          <w:i w:val="0"/>
          <w:color w:val="64748B"/>
          <w:sz w:val="20"/>
        </w:rPr>
        <w:t>Tren penelitian meningkat sejak 2020, konsisten dengan periode pencarian literatur PCC 2020–2026. Fondasi studi kunci (Khoraminya 2013, Kaviani 2022) berada di luar rentang PCC namun diikutkan sebagai bukti kontekstual.</w:t>
      </w:r>
    </w:p>
    <w:p/>
    <w:p>
      <w:r>
        <w:rPr>
          <w:b/>
          <w:i w:val="0"/>
          <w:color w:val="0891B2"/>
          <w:sz w:val="20"/>
        </w:rPr>
        <w:t xml:space="preserve">INSIGHT GEOGRAFIS (ditampilkan sebagai teks visual):  </w:t>
      </w:r>
      <w:r>
        <w:rPr>
          <w:b w:val="0"/>
          <w:i w:val="0"/>
          <w:color w:val="64748B"/>
          <w:sz w:val="20"/>
        </w:rPr>
        <w:t>Iran: 6/10 studi (60%) — dominasi satu negara mengisyaratkan perlunya replikasi di wilayah lain, khususnya Asia Tenggara termasuk Indonesia, di mana data VitD + MDD hampir tidak tersedia.</w:t>
      </w:r>
    </w:p>
    <w:p>
      <w:r>
        <w:br w:type="page"/>
      </w:r>
    </w:p>
    <w:p>
      <w:pPr>
        <w:pStyle w:val="Heading1"/>
        <w:jc w:val="left"/>
      </w:pPr>
      <w:r>
        <w:rPr>
          <w:color w:val="1E3A5F"/>
          <w:sz w:val="32"/>
        </w:rPr>
        <w:t>SECTION 4 — OUTPUT 4/5: EVIDENCE GAP MATRIX</w:t>
      </w:r>
    </w:p>
    <w:p>
      <w:r>
        <w:rPr>
          <w:b/>
          <w:i w:val="0"/>
          <w:color w:val="1E3A5F"/>
          <w:sz w:val="21"/>
        </w:rPr>
        <w:t xml:space="preserve">Ini adalah kontribusi ilmiah terpenting dari scoping review ini.  </w:t>
      </w:r>
      <w:r>
        <w:rPr>
          <w:b w:val="0"/>
          <w:i w:val="0"/>
          <w:sz w:val="21"/>
        </w:rPr>
        <w:t>Matriks di bawah memperlihatkan di mana bukti tersedia (✓), terbatas (⚠), dan belum ada sama sekali (✗). Sel berwarna merah adalah prioritas riset masa depan.</w:t>
      </w:r>
    </w:p>
    <w:p/>
    <w:p>
      <w:pPr>
        <w:jc w:val="left"/>
      </w:pPr>
      <w:r>
        <w:rPr>
          <w:b/>
          <w:color w:val="0891B2"/>
          <w:sz w:val="20"/>
        </w:rPr>
        <w:t>─────  Matriks: Biomarker × Parameter Metodologis Studi  ─────</w:t>
      </w:r>
    </w:p>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shd w:val="clear" w:color="auto" w:fill="1E3A5F"/>
          </w:tcPr>
          <w:p>
            <w:pPr>
              <w:jc w:val="center"/>
            </w:pPr>
            <w:r>
              <w:rPr>
                <w:b/>
                <w:color w:val="FFFFFF"/>
                <w:sz w:val="16"/>
              </w:rPr>
              <w:t>BIOMARKER</w:t>
            </w:r>
          </w:p>
        </w:tc>
        <w:tc>
          <w:tcPr>
            <w:tcW w:type="dxa" w:w="1008"/>
            <w:shd w:val="clear" w:color="auto" w:fill="1E3A5F"/>
          </w:tcPr>
          <w:p>
            <w:pPr>
              <w:jc w:val="center"/>
            </w:pPr>
            <w:r>
              <w:rPr>
                <w:b/>
                <w:color w:val="FFFFFF"/>
                <w:sz w:val="16"/>
              </w:rPr>
              <w:t>RCT Adjuvan</w:t>
              <w:br/>
              <w:t>(VD+SSRI)</w:t>
            </w:r>
          </w:p>
        </w:tc>
        <w:tc>
          <w:tcPr>
            <w:tcW w:type="dxa" w:w="1008"/>
            <w:shd w:val="clear" w:color="auto" w:fill="1E3A5F"/>
          </w:tcPr>
          <w:p>
            <w:pPr>
              <w:jc w:val="center"/>
            </w:pPr>
            <w:r>
              <w:rPr>
                <w:b/>
                <w:color w:val="FFFFFF"/>
                <w:sz w:val="16"/>
              </w:rPr>
              <w:t>RCT Adjuvan</w:t>
              <w:br/>
              <w:t>(VD+SNRI)</w:t>
            </w:r>
          </w:p>
        </w:tc>
        <w:tc>
          <w:tcPr>
            <w:tcW w:type="dxa" w:w="1008"/>
            <w:shd w:val="clear" w:color="auto" w:fill="1E3A5F"/>
          </w:tcPr>
          <w:p>
            <w:pPr>
              <w:jc w:val="center"/>
            </w:pPr>
            <w:r>
              <w:rPr>
                <w:b/>
                <w:color w:val="FFFFFF"/>
                <w:sz w:val="16"/>
              </w:rPr>
              <w:t>Populasi</w:t>
              <w:br/>
              <w:t>Iran/MENA</w:t>
            </w:r>
          </w:p>
        </w:tc>
        <w:tc>
          <w:tcPr>
            <w:tcW w:type="dxa" w:w="1008"/>
            <w:shd w:val="clear" w:color="auto" w:fill="1E3A5F"/>
          </w:tcPr>
          <w:p>
            <w:pPr>
              <w:jc w:val="center"/>
            </w:pPr>
            <w:r>
              <w:rPr>
                <w:b/>
                <w:color w:val="FFFFFF"/>
                <w:sz w:val="16"/>
              </w:rPr>
              <w:t>Populasi</w:t>
              <w:br/>
              <w:t>Asia</w:t>
              <w:br/>
              <w:t>Tenggara</w:t>
            </w:r>
          </w:p>
        </w:tc>
        <w:tc>
          <w:tcPr>
            <w:tcW w:type="dxa" w:w="1008"/>
            <w:shd w:val="clear" w:color="auto" w:fill="1E3A5F"/>
          </w:tcPr>
          <w:p>
            <w:pPr>
              <w:jc w:val="center"/>
            </w:pPr>
            <w:r>
              <w:rPr>
                <w:b/>
                <w:color w:val="FFFFFF"/>
                <w:sz w:val="16"/>
              </w:rPr>
              <w:t>Durasi</w:t>
              <w:br/>
              <w:t>≥12 Minggu</w:t>
            </w:r>
          </w:p>
        </w:tc>
        <w:tc>
          <w:tcPr>
            <w:tcW w:type="dxa" w:w="1008"/>
            <w:shd w:val="clear" w:color="auto" w:fill="1E3A5F"/>
          </w:tcPr>
          <w:p>
            <w:pPr>
              <w:jc w:val="center"/>
            </w:pPr>
            <w:r>
              <w:rPr>
                <w:b/>
                <w:color w:val="FFFFFF"/>
                <w:sz w:val="16"/>
              </w:rPr>
              <w:t>NLRP3 sbg</w:t>
              <w:br/>
              <w:t>Primary</w:t>
              <w:br/>
              <w:t>Endpoint</w:t>
            </w:r>
          </w:p>
        </w:tc>
        <w:tc>
          <w:tcPr>
            <w:tcW w:type="dxa" w:w="1008"/>
            <w:shd w:val="clear" w:color="auto" w:fill="1E3A5F"/>
          </w:tcPr>
          <w:p>
            <w:pPr>
              <w:jc w:val="center"/>
            </w:pPr>
            <w:r>
              <w:rPr>
                <w:b/>
                <w:color w:val="FFFFFF"/>
                <w:sz w:val="16"/>
              </w:rPr>
              <w:t>IDO-Kyn</w:t>
              <w:br/>
              <w:t>Pathway</w:t>
              <w:br/>
              <w:t>Diukur</w:t>
            </w:r>
          </w:p>
        </w:tc>
        <w:tc>
          <w:tcPr>
            <w:tcW w:type="dxa" w:w="1008"/>
            <w:shd w:val="clear" w:color="auto" w:fill="1E3A5F"/>
          </w:tcPr>
          <w:p>
            <w:pPr>
              <w:jc w:val="center"/>
            </w:pPr>
            <w:r>
              <w:rPr>
                <w:b/>
                <w:color w:val="FFFFFF"/>
                <w:sz w:val="16"/>
              </w:rPr>
              <w:t>Defisiensi</w:t>
              <w:br/>
              <w:t>Berat</w:t>
              <w:br/>
              <w:t>&lt;20 ng/mL</w:t>
            </w:r>
          </w:p>
        </w:tc>
      </w:tr>
      <w:tr>
        <w:tc>
          <w:tcPr>
            <w:tcW w:type="dxa" w:w="1008"/>
            <w:shd w:val="clear" w:color="auto" w:fill="EFF6FF"/>
          </w:tcPr>
          <w:p>
            <w:pPr>
              <w:jc w:val="center"/>
            </w:pPr>
            <w:r>
              <w:rPr>
                <w:b/>
                <w:color w:val="1E3A5F"/>
                <w:sz w:val="20"/>
              </w:rPr>
              <w:t>IL-6</w:t>
            </w:r>
          </w:p>
        </w:tc>
        <w:tc>
          <w:tcPr>
            <w:tcW w:type="dxa" w:w="1008"/>
            <w:shd w:val="clear" w:color="auto" w:fill="DCFCE7"/>
          </w:tcPr>
          <w:p>
            <w:pPr>
              <w:jc w:val="center"/>
            </w:pPr>
            <w:r>
              <w:rPr>
                <w:b/>
                <w:color w:val="059669"/>
                <w:sz w:val="20"/>
              </w:rPr>
              <w:t>✓</w:t>
            </w:r>
          </w:p>
        </w:tc>
        <w:tc>
          <w:tcPr>
            <w:tcW w:type="dxa" w:w="1008"/>
            <w:shd w:val="clear" w:color="auto" w:fill="FEE2E2"/>
          </w:tcPr>
          <w:p>
            <w:pPr>
              <w:jc w:val="center"/>
            </w:pPr>
            <w:r>
              <w:rPr>
                <w:b/>
                <w:color w:val="DC2626"/>
                <w:sz w:val="20"/>
              </w:rPr>
              <w:t>✗</w:t>
            </w:r>
          </w:p>
        </w:tc>
        <w:tc>
          <w:tcPr>
            <w:tcW w:type="dxa" w:w="1008"/>
            <w:shd w:val="clear" w:color="auto" w:fill="DCFCE7"/>
          </w:tcPr>
          <w:p>
            <w:pPr>
              <w:jc w:val="center"/>
            </w:pPr>
            <w:r>
              <w:rPr>
                <w:b/>
                <w:color w:val="059669"/>
                <w:sz w:val="20"/>
              </w:rPr>
              <w:t>✓</w:t>
            </w:r>
          </w:p>
        </w:tc>
        <w:tc>
          <w:tcPr>
            <w:tcW w:type="dxa" w:w="1008"/>
            <w:shd w:val="clear" w:color="auto" w:fill="FEE2E2"/>
          </w:tcPr>
          <w:p>
            <w:pPr>
              <w:jc w:val="center"/>
            </w:pPr>
            <w:r>
              <w:rPr>
                <w:b/>
                <w:color w:val="DC2626"/>
                <w:sz w:val="20"/>
              </w:rPr>
              <w:t>✗</w:t>
            </w:r>
          </w:p>
        </w:tc>
        <w:tc>
          <w:tcPr>
            <w:tcW w:type="dxa" w:w="1008"/>
            <w:shd w:val="clear" w:color="auto" w:fill="FEF9C3"/>
          </w:tcPr>
          <w:p>
            <w:pPr>
              <w:jc w:val="center"/>
            </w:pPr>
            <w:r>
              <w:rPr>
                <w:b/>
                <w:color w:val="D9770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DCFCE7"/>
          </w:tcPr>
          <w:p>
            <w:pPr>
              <w:jc w:val="center"/>
            </w:pPr>
            <w:r>
              <w:rPr>
                <w:b/>
                <w:color w:val="059669"/>
                <w:sz w:val="20"/>
              </w:rPr>
              <w:t>✓</w:t>
            </w:r>
          </w:p>
        </w:tc>
      </w:tr>
      <w:tr>
        <w:tc>
          <w:tcPr>
            <w:tcW w:type="dxa" w:w="1008"/>
            <w:shd w:val="clear" w:color="auto" w:fill="EFF6FF"/>
          </w:tcPr>
          <w:p>
            <w:pPr>
              <w:jc w:val="center"/>
            </w:pPr>
            <w:r>
              <w:rPr>
                <w:b/>
                <w:color w:val="1E3A5F"/>
                <w:sz w:val="20"/>
              </w:rPr>
              <w:t>TNF-α</w:t>
            </w:r>
          </w:p>
        </w:tc>
        <w:tc>
          <w:tcPr>
            <w:tcW w:type="dxa" w:w="1008"/>
            <w:shd w:val="clear" w:color="auto" w:fill="DCFCE7"/>
          </w:tcPr>
          <w:p>
            <w:pPr>
              <w:jc w:val="center"/>
            </w:pPr>
            <w:r>
              <w:rPr>
                <w:b/>
                <w:color w:val="059669"/>
                <w:sz w:val="20"/>
              </w:rPr>
              <w:t>✓</w:t>
            </w:r>
          </w:p>
        </w:tc>
        <w:tc>
          <w:tcPr>
            <w:tcW w:type="dxa" w:w="1008"/>
            <w:shd w:val="clear" w:color="auto" w:fill="FEE2E2"/>
          </w:tcPr>
          <w:p>
            <w:pPr>
              <w:jc w:val="center"/>
            </w:pPr>
            <w:r>
              <w:rPr>
                <w:b/>
                <w:color w:val="DC2626"/>
                <w:sz w:val="20"/>
              </w:rPr>
              <w:t>✗</w:t>
            </w:r>
          </w:p>
        </w:tc>
        <w:tc>
          <w:tcPr>
            <w:tcW w:type="dxa" w:w="1008"/>
            <w:shd w:val="clear" w:color="auto" w:fill="DCFCE7"/>
          </w:tcPr>
          <w:p>
            <w:pPr>
              <w:jc w:val="center"/>
            </w:pPr>
            <w:r>
              <w:rPr>
                <w:b/>
                <w:color w:val="059669"/>
                <w:sz w:val="20"/>
              </w:rPr>
              <w:t>✓</w:t>
            </w:r>
          </w:p>
        </w:tc>
        <w:tc>
          <w:tcPr>
            <w:tcW w:type="dxa" w:w="1008"/>
            <w:shd w:val="clear" w:color="auto" w:fill="FEE2E2"/>
          </w:tcPr>
          <w:p>
            <w:pPr>
              <w:jc w:val="center"/>
            </w:pPr>
            <w:r>
              <w:rPr>
                <w:b/>
                <w:color w:val="DC2626"/>
                <w:sz w:val="20"/>
              </w:rPr>
              <w:t>✗</w:t>
            </w:r>
          </w:p>
        </w:tc>
        <w:tc>
          <w:tcPr>
            <w:tcW w:type="dxa" w:w="1008"/>
            <w:shd w:val="clear" w:color="auto" w:fill="FEF9C3"/>
          </w:tcPr>
          <w:p>
            <w:pPr>
              <w:jc w:val="center"/>
            </w:pPr>
            <w:r>
              <w:rPr>
                <w:b/>
                <w:color w:val="D9770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F9C3"/>
          </w:tcPr>
          <w:p>
            <w:pPr>
              <w:jc w:val="center"/>
            </w:pPr>
            <w:r>
              <w:rPr>
                <w:b/>
                <w:color w:val="D97706"/>
                <w:sz w:val="20"/>
              </w:rPr>
              <w:t>⚠</w:t>
            </w:r>
          </w:p>
        </w:tc>
      </w:tr>
      <w:tr>
        <w:tc>
          <w:tcPr>
            <w:tcW w:type="dxa" w:w="1008"/>
            <w:shd w:val="clear" w:color="auto" w:fill="EFF6FF"/>
          </w:tcPr>
          <w:p>
            <w:pPr>
              <w:jc w:val="center"/>
            </w:pPr>
            <w:r>
              <w:rPr>
                <w:b/>
                <w:color w:val="1E3A5F"/>
                <w:sz w:val="20"/>
              </w:rPr>
              <w:t>CRP</w:t>
            </w:r>
          </w:p>
        </w:tc>
        <w:tc>
          <w:tcPr>
            <w:tcW w:type="dxa" w:w="1008"/>
            <w:shd w:val="clear" w:color="auto" w:fill="DCFCE7"/>
          </w:tcPr>
          <w:p>
            <w:pPr>
              <w:jc w:val="center"/>
            </w:pPr>
            <w:r>
              <w:rPr>
                <w:b/>
                <w:color w:val="059669"/>
                <w:sz w:val="20"/>
              </w:rPr>
              <w:t>✓</w:t>
            </w:r>
          </w:p>
        </w:tc>
        <w:tc>
          <w:tcPr>
            <w:tcW w:type="dxa" w:w="1008"/>
            <w:shd w:val="clear" w:color="auto" w:fill="FEE2E2"/>
          </w:tcPr>
          <w:p>
            <w:pPr>
              <w:jc w:val="center"/>
            </w:pPr>
            <w:r>
              <w:rPr>
                <w:b/>
                <w:color w:val="DC2626"/>
                <w:sz w:val="20"/>
              </w:rPr>
              <w:t>✗</w:t>
            </w:r>
          </w:p>
        </w:tc>
        <w:tc>
          <w:tcPr>
            <w:tcW w:type="dxa" w:w="1008"/>
            <w:shd w:val="clear" w:color="auto" w:fill="DCFCE7"/>
          </w:tcPr>
          <w:p>
            <w:pPr>
              <w:jc w:val="center"/>
            </w:pPr>
            <w:r>
              <w:rPr>
                <w:b/>
                <w:color w:val="059669"/>
                <w:sz w:val="20"/>
              </w:rPr>
              <w:t>✓</w:t>
            </w:r>
          </w:p>
        </w:tc>
        <w:tc>
          <w:tcPr>
            <w:tcW w:type="dxa" w:w="1008"/>
            <w:shd w:val="clear" w:color="auto" w:fill="FEE2E2"/>
          </w:tcPr>
          <w:p>
            <w:pPr>
              <w:jc w:val="center"/>
            </w:pPr>
            <w:r>
              <w:rPr>
                <w:b/>
                <w:color w:val="DC2626"/>
                <w:sz w:val="20"/>
              </w:rPr>
              <w:t>✗</w:t>
            </w:r>
          </w:p>
        </w:tc>
        <w:tc>
          <w:tcPr>
            <w:tcW w:type="dxa" w:w="1008"/>
            <w:shd w:val="clear" w:color="auto" w:fill="DCFCE7"/>
          </w:tcPr>
          <w:p>
            <w:pPr>
              <w:jc w:val="center"/>
            </w:pPr>
            <w:r>
              <w:rPr>
                <w:b/>
                <w:color w:val="059669"/>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DCFCE7"/>
          </w:tcPr>
          <w:p>
            <w:pPr>
              <w:jc w:val="center"/>
            </w:pPr>
            <w:r>
              <w:rPr>
                <w:b/>
                <w:color w:val="059669"/>
                <w:sz w:val="20"/>
              </w:rPr>
              <w:t>✓</w:t>
            </w:r>
          </w:p>
        </w:tc>
      </w:tr>
      <w:tr>
        <w:tc>
          <w:tcPr>
            <w:tcW w:type="dxa" w:w="1008"/>
            <w:shd w:val="clear" w:color="auto" w:fill="EFF6FF"/>
          </w:tcPr>
          <w:p>
            <w:pPr>
              <w:jc w:val="center"/>
            </w:pPr>
            <w:r>
              <w:rPr>
                <w:b/>
                <w:color w:val="1E3A5F"/>
                <w:sz w:val="20"/>
              </w:rPr>
              <w:t>IL-1β</w:t>
            </w:r>
          </w:p>
        </w:tc>
        <w:tc>
          <w:tcPr>
            <w:tcW w:type="dxa" w:w="1008"/>
            <w:shd w:val="clear" w:color="auto" w:fill="FEF9C3"/>
          </w:tcPr>
          <w:p>
            <w:pPr>
              <w:jc w:val="center"/>
            </w:pPr>
            <w:r>
              <w:rPr>
                <w:b/>
                <w:color w:val="D97706"/>
                <w:sz w:val="20"/>
              </w:rPr>
              <w:t>⚠</w:t>
            </w:r>
          </w:p>
        </w:tc>
        <w:tc>
          <w:tcPr>
            <w:tcW w:type="dxa" w:w="1008"/>
            <w:shd w:val="clear" w:color="auto" w:fill="FEE2E2"/>
          </w:tcPr>
          <w:p>
            <w:pPr>
              <w:jc w:val="center"/>
            </w:pPr>
            <w:r>
              <w:rPr>
                <w:b/>
                <w:color w:val="DC2626"/>
                <w:sz w:val="20"/>
              </w:rPr>
              <w:t>✗</w:t>
            </w:r>
          </w:p>
        </w:tc>
        <w:tc>
          <w:tcPr>
            <w:tcW w:type="dxa" w:w="1008"/>
            <w:shd w:val="clear" w:color="auto" w:fill="FEF9C3"/>
          </w:tcPr>
          <w:p>
            <w:pPr>
              <w:jc w:val="center"/>
            </w:pPr>
            <w:r>
              <w:rPr>
                <w:b/>
                <w:color w:val="D9770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r>
      <w:tr>
        <w:tc>
          <w:tcPr>
            <w:tcW w:type="dxa" w:w="1008"/>
            <w:shd w:val="clear" w:color="auto" w:fill="EFF6FF"/>
          </w:tcPr>
          <w:p>
            <w:pPr>
              <w:jc w:val="center"/>
            </w:pPr>
            <w:r>
              <w:rPr>
                <w:b/>
                <w:color w:val="1E3A5F"/>
                <w:sz w:val="20"/>
              </w:rPr>
              <w:t>IFN-γ</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r>
      <w:tr>
        <w:tc>
          <w:tcPr>
            <w:tcW w:type="dxa" w:w="1008"/>
            <w:shd w:val="clear" w:color="auto" w:fill="EFF6FF"/>
          </w:tcPr>
          <w:p>
            <w:pPr>
              <w:jc w:val="center"/>
            </w:pPr>
            <w:r>
              <w:rPr>
                <w:b/>
                <w:color w:val="1E3A5F"/>
                <w:sz w:val="20"/>
              </w:rPr>
              <w:t>NLRP3</w:t>
              <w:br/>
              <w:t>(gen)</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F9C3"/>
          </w:tcPr>
          <w:p>
            <w:pPr>
              <w:jc w:val="center"/>
            </w:pPr>
            <w:r>
              <w:rPr>
                <w:b/>
                <w:color w:val="D9770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r>
      <w:tr>
        <w:tc>
          <w:tcPr>
            <w:tcW w:type="dxa" w:w="1008"/>
            <w:shd w:val="clear" w:color="auto" w:fill="EFF6FF"/>
          </w:tcPr>
          <w:p>
            <w:pPr>
              <w:jc w:val="center"/>
            </w:pPr>
            <w:r>
              <w:rPr>
                <w:b/>
                <w:color w:val="1E3A5F"/>
                <w:sz w:val="20"/>
              </w:rPr>
              <w:t>IDO /</w:t>
              <w:br/>
              <w:t>Kyn.</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r>
      <w:tr>
        <w:tc>
          <w:tcPr>
            <w:tcW w:type="dxa" w:w="1008"/>
            <w:shd w:val="clear" w:color="auto" w:fill="EFF6FF"/>
          </w:tcPr>
          <w:p>
            <w:pPr>
              <w:jc w:val="center"/>
            </w:pPr>
            <w:r>
              <w:rPr>
                <w:b/>
                <w:color w:val="1E3A5F"/>
                <w:sz w:val="20"/>
              </w:rPr>
              <w:t>IL-18</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c>
          <w:tcPr>
            <w:tcW w:type="dxa" w:w="1008"/>
            <w:shd w:val="clear" w:color="auto" w:fill="FEE2E2"/>
          </w:tcPr>
          <w:p>
            <w:pPr>
              <w:jc w:val="center"/>
            </w:pPr>
            <w:r>
              <w:rPr>
                <w:b/>
                <w:color w:val="DC2626"/>
                <w:sz w:val="20"/>
              </w:rPr>
              <w:t>✗</w:t>
            </w:r>
          </w:p>
        </w:tc>
      </w:tr>
    </w:tbl>
    <w:p/>
    <w:p>
      <w:r>
        <w:rPr>
          <w:b/>
          <w:i w:val="0"/>
          <w:color w:val="1E3A5F"/>
          <w:sz w:val="20"/>
        </w:rPr>
        <w:t xml:space="preserve">LEGENDA:  </w:t>
      </w:r>
      <w:r>
        <w:rPr>
          <w:b/>
          <w:color w:val="059669"/>
          <w:sz w:val="20"/>
        </w:rPr>
        <w:t xml:space="preserve">✓ Bukti tersedia  </w:t>
      </w:r>
      <w:r>
        <w:rPr>
          <w:b/>
          <w:color w:val="D97706"/>
          <w:sz w:val="20"/>
        </w:rPr>
        <w:t xml:space="preserve">⚠ Terbatas (1–2 studi, bukan MDD spesifik)  </w:t>
      </w:r>
      <w:r>
        <w:rPr>
          <w:b/>
          <w:color w:val="DC2626"/>
          <w:sz w:val="20"/>
        </w:rPr>
        <w:t>✗ Belum ada bukti (Knowledge Gap)</w:t>
      </w:r>
    </w:p>
    <w:p/>
    <w:p/>
    <w:p>
      <w:pPr>
        <w:jc w:val="left"/>
      </w:pPr>
      <w:r>
        <w:rPr>
          <w:b/>
          <w:color w:val="0891B2"/>
          <w:sz w:val="20"/>
        </w:rPr>
        <w:t>─────  3 Knowledge Gap Terkritis (Highlight di HTML)  ─────</w:t>
      </w:r>
    </w:p>
    <w:p/>
    <w:p>
      <w:r>
        <w:rPr>
          <w:b/>
          <w:i w:val="0"/>
          <w:color w:val="1E3A5F"/>
          <w:sz w:val="21"/>
        </w:rPr>
        <w:t xml:space="preserve">  KRITIS 1 — NLRP3 &amp; IDO/Kynurenine = Kosong Total</w:t>
        <w:br/>
      </w:r>
      <w:r>
        <w:rPr>
          <w:b w:val="0"/>
          <w:i w:val="0"/>
          <w:color w:val="64748B"/>
          <w:sz w:val="20"/>
        </w:rPr>
        <w:t xml:space="preserve">  Dua jalur mekanistik terpenting yang secara biologis paling relevan (NLRP3 inflammasome dan jalur IDO-kynurenine) belum pernah dijadikan primary endpoint dalam RCT adjuvan VitD+antidepresan pada populasi MDD. Seluruh 8 baris NLRP3 dan IDO berwarna merah.</w:t>
      </w:r>
    </w:p>
    <w:p/>
    <w:p>
      <w:r>
        <w:rPr>
          <w:b/>
          <w:i w:val="0"/>
          <w:color w:val="1E3A5F"/>
          <w:sz w:val="21"/>
        </w:rPr>
        <w:t xml:space="preserve">  KRITIS 2 — Populasi Asia Tenggara = Tidak Ada</w:t>
        <w:br/>
      </w:r>
      <w:r>
        <w:rPr>
          <w:b w:val="0"/>
          <w:i w:val="0"/>
          <w:color w:val="64748B"/>
          <w:sz w:val="20"/>
        </w:rPr>
        <w:t xml:space="preserve">  Tidak satu pun studi terinklusi berasal dari Asia Tenggara. Mengingat paradoks defisiensi VitD di negara tropis (termasuk Indonesia) dan tingginya prevalensi MDD, ini adalah gap yang memiliki relevansi klinis langsung terhadap konteks lokal.</w:t>
      </w:r>
    </w:p>
    <w:p/>
    <w:p>
      <w:r>
        <w:rPr>
          <w:b/>
          <w:i w:val="0"/>
          <w:color w:val="1E3A5F"/>
          <w:sz w:val="21"/>
        </w:rPr>
        <w:t xml:space="preserve">  KRITIS 3 — RCT Adjuvan VD+SNRI = Tidak Ada</w:t>
        <w:br/>
      </w:r>
      <w:r>
        <w:rPr>
          <w:b w:val="0"/>
          <w:i w:val="0"/>
          <w:color w:val="64748B"/>
          <w:sz w:val="20"/>
        </w:rPr>
        <w:t xml:space="preserve">  Bukti adjuvan tersedia untuk SSRI (fluoxetine), namun tidak ada satu pun RCT yang menguji kombinasi VitD dengan SNRI (venlafaxine, duloxetine) sebagai antidepresan. Padahal SNRI adalah first-line alternatif yang sering digunakan pada MDD dengan komorbid nyeri kronis.</w:t>
      </w:r>
    </w:p>
    <w:p/>
    <w:p>
      <w:r>
        <w:br w:type="page"/>
      </w:r>
    </w:p>
    <w:p>
      <w:pPr>
        <w:pStyle w:val="Heading1"/>
        <w:jc w:val="left"/>
      </w:pPr>
      <w:r>
        <w:rPr>
          <w:color w:val="1E3A5F"/>
          <w:sz w:val="32"/>
        </w:rPr>
        <w:t>SECTION 5 — OUTPUT 5/5: SINTESIS &amp; KNOWLEDGE GAP</w:t>
      </w:r>
    </w:p>
    <w:p/>
    <w:p>
      <w:pPr>
        <w:jc w:val="left"/>
      </w:pPr>
      <w:r>
        <w:rPr>
          <w:b/>
          <w:color w:val="0891B2"/>
          <w:sz w:val="20"/>
        </w:rPr>
        <w:t>─────  3 Temuan Utama Scoping Review  ─────</w:t>
      </w:r>
    </w:p>
    <w:p/>
    <w:p>
      <w:r>
        <w:rPr>
          <w:b/>
          <w:i w:val="0"/>
          <w:color w:val="FFFFFF"/>
          <w:sz w:val="20"/>
        </w:rPr>
        <w:t xml:space="preserve">  TEMUAN 1  </w:t>
      </w:r>
    </w:p>
    <w:p>
      <w:r>
        <w:rPr>
          <w:b/>
          <w:i w:val="0"/>
          <w:color w:val="1E3A5F"/>
          <w:sz w:val="22"/>
        </w:rPr>
        <w:t>[TEMUAN 1]  IL-6 dan TNF-α: Biomarker Paling Responsif</w:t>
      </w:r>
    </w:p>
    <w:p>
      <w:r>
        <w:rPr>
          <w:b w:val="0"/>
          <w:i w:val="0"/>
          <w:color w:val="64748B"/>
          <w:sz w:val="20"/>
        </w:rPr>
        <w:t xml:space="preserve">    IL-6 (8/10 studi, 6 di antaranya signifikan ↓) dan TNF-α (7/10 studi, 5 signifikan ↓) adalah biomarker yang paling konsisten merespons suplementasi vitamin D. Penurunan bermakna terkonfirmasi oleh umbrella meta-analysis (Moslemi et al. 2022) pada berbagai populasi klinis, memperkuat dasar translasional mekanisme inhibisi NF-κB.</w:t>
      </w:r>
    </w:p>
    <w:p/>
    <w:p>
      <w:r>
        <w:rPr>
          <w:b/>
          <w:i w:val="0"/>
          <w:color w:val="FFFFFF"/>
          <w:sz w:val="20"/>
        </w:rPr>
        <w:t xml:space="preserve">  TEMUAN 2  </w:t>
      </w:r>
    </w:p>
    <w:p>
      <w:r>
        <w:rPr>
          <w:b/>
          <w:i w:val="0"/>
          <w:color w:val="1E3A5F"/>
          <w:sz w:val="22"/>
        </w:rPr>
        <w:t>[TEMUAN 2]  Efek Terkuat pada Subset Defisiensi Berat (25(OH)D &lt; 20 ng/mL)</w:t>
      </w:r>
    </w:p>
    <w:p>
      <w:r>
        <w:rPr>
          <w:b w:val="0"/>
          <w:i w:val="0"/>
          <w:color w:val="64748B"/>
          <w:sz w:val="20"/>
        </w:rPr>
        <w:t xml:space="preserve">    Dose-response meta-analysis (Ghaemi et al. 2024) menunjukkan efek suplementasi vitamin D terhadap perbaikan skor depresi paling bermakna pada individu dengan defisiensi berat. Studi yang tidak mensyaratkan defisiensi sebagai kriteria inklusi cenderung meremehkan manfaat aktual — ini merupakan implikasi metodologis penting untuk desain RCT masa depan.</w:t>
      </w:r>
    </w:p>
    <w:p/>
    <w:p>
      <w:r>
        <w:rPr>
          <w:b/>
          <w:i w:val="0"/>
          <w:color w:val="FFFFFF"/>
          <w:sz w:val="20"/>
        </w:rPr>
        <w:t xml:space="preserve">  TEMUAN 3  </w:t>
      </w:r>
    </w:p>
    <w:p>
      <w:r>
        <w:rPr>
          <w:b/>
          <w:i w:val="0"/>
          <w:color w:val="1E3A5F"/>
          <w:sz w:val="22"/>
        </w:rPr>
        <w:t>[TEMUAN 3]  Bukti Adjuvan VD+SSRI Lebih Konsisten dari Monoterapi</w:t>
      </w:r>
    </w:p>
    <w:p>
      <w:r>
        <w:rPr>
          <w:b w:val="0"/>
          <w:i w:val="0"/>
          <w:color w:val="64748B"/>
          <w:sz w:val="20"/>
        </w:rPr>
        <w:t xml:space="preserve">    RCT adjuvan Khoraminya et al. (2013) menunjukkan superioritas kombinasi VD3+fluoxetine dibandingkan fluoxetine saja mulai minggu ke-4, mengisyaratkan efek sinergis yang tidak teramati pada studi monoterapi. Inkonsistensi antara perbaikan skor klinis dan perubahan biomarker perifer (Kaviani 2022) menunjukkan kemungkinan mekanisme sentral (non-peripheral) yang belum terkarakterisasi.</w:t>
      </w:r>
    </w:p>
    <w:p/>
    <w:p/>
    <w:p>
      <w:pPr>
        <w:jc w:val="left"/>
      </w:pPr>
      <w:r>
        <w:rPr>
          <w:b/>
          <w:color w:val="0891B2"/>
          <w:sz w:val="20"/>
        </w:rPr>
        <w:t>─────  3 Knowledge Gap Utama yang Diidentifikasi  ─────</w:t>
      </w:r>
    </w:p>
    <w:p/>
    <w:p>
      <w:r>
        <w:rPr>
          <w:b/>
          <w:i w:val="0"/>
          <w:color w:val="DC2626"/>
          <w:sz w:val="22"/>
        </w:rPr>
        <w:t>[GAP 1]  Tidak ada RCT adjuvan dengan NLRP3 atau IDO/Kynurenine sebagai primary endpoint pada populasi MDD</w:t>
      </w:r>
    </w:p>
    <w:p>
      <w:r>
        <w:rPr>
          <w:b w:val="0"/>
          <w:i w:val="0"/>
          <w:color w:val="64748B"/>
          <w:sz w:val="20"/>
        </w:rPr>
        <w:t xml:space="preserve">    Meskipun secara mekanistik NLRP3 dan jalur IDO-kynurenine adalah target biologis terpenting yang membedakan neuroinflamasi dari jalur monoaminergik, tidak satu pun studi terinklusi mengukur kedua parameter ini pada populasi MDD. RCT mekanistik adjuvan yang secara spesifik merancang biomarker NLRP3/IDO sebagai primary endpoint merupakan prioritas riset terpenting.</w:t>
      </w:r>
    </w:p>
    <w:p/>
    <w:p>
      <w:r>
        <w:rPr>
          <w:b/>
          <w:i w:val="0"/>
          <w:color w:val="DC2626"/>
          <w:sz w:val="22"/>
        </w:rPr>
        <w:t>[GAP 2]  Absensi data dari populasi Asia Tenggara, khususnya Indonesia</w:t>
      </w:r>
    </w:p>
    <w:p>
      <w:r>
        <w:rPr>
          <w:b w:val="0"/>
          <w:i w:val="0"/>
          <w:color w:val="64748B"/>
          <w:sz w:val="20"/>
        </w:rPr>
        <w:t xml:space="preserve">    Seluruh RCT adjuvan berasal dari Iran (60%) dan negara MENA. Tidak ada studi dari Asia Tenggara. Mengingat paradoks defisiensi vitamin D di Indonesia (negara tropis namun defisiensi tetap tinggi) dan data prevalensi MDD nasional yang bermakna (Riskesdas 2018: 9,8%), diperlukan RCT adjuvan berbasis populasi Indonesia untuk menghasilkan rekomendasi evidence-based yang kontekstual.</w:t>
      </w:r>
    </w:p>
    <w:p/>
    <w:p>
      <w:r>
        <w:rPr>
          <w:b/>
          <w:i w:val="0"/>
          <w:color w:val="DC2626"/>
          <w:sz w:val="22"/>
        </w:rPr>
        <w:t>[GAP 3]  Studi kombinasi VD+SNRI tidak tersedia; dominasi fluoxetine sebagai antidepresan kombinator</w:t>
      </w:r>
    </w:p>
    <w:p>
      <w:r>
        <w:rPr>
          <w:b w:val="0"/>
          <w:i w:val="0"/>
          <w:color w:val="64748B"/>
          <w:sz w:val="20"/>
        </w:rPr>
        <w:t xml:space="preserve">    Seluruh studi adjuvan menggunakan SSRI (khususnya fluoxetine) sebagai antidepresan kombinasi. Tidak ada data untuk VD+SNRI (venlafaxine, duloxetine), padahal SNRI memiliki profil penggunaan yang berbeda dan relevan pada subset MDD dengan komorbiditas nyeri kronis. Ini mencerminkan bias seleksi literatur yang perlu diatasi dalam penelitian selanjutnya.</w:t>
      </w:r>
    </w:p>
    <w:p/>
    <w:p/>
    <w:p>
      <w:pPr>
        <w:jc w:val="left"/>
      </w:pPr>
      <w:r>
        <w:rPr>
          <w:b/>
          <w:color w:val="0891B2"/>
          <w:sz w:val="20"/>
        </w:rPr>
        <w:t>─────  Teks Penutup Section (Tampil di Bagian Bawah HTML)  ─────</w:t>
      </w:r>
    </w:p>
    <w:p/>
    <w:p>
      <w:r>
        <w:rPr>
          <w:b w:val="0"/>
          <w:i w:val="0"/>
          <w:color w:val="1E293B"/>
          <w:sz w:val="21"/>
        </w:rPr>
        <w:t>Scoping review ini berhasil memetakan 10 studi dari 3 database dengan protokol JBI yang rigorous. Temuan utama mengkonfirmasi potensi imunomodulatori vitamin D pada biomarker neuroinflamasi MDD, dengan IL-6 dan TNF-α sebagai biomarker paling responsif. Tiga knowledge gap utama yang teridentifikasi — khususnya absennya data NLRP3/IDO dan populasi Asia Tenggara — menjadi dasar prioritas riset lanjutan.</w:t>
      </w:r>
    </w:p>
    <w:p/>
    <w:p>
      <w:pPr>
        <w:jc w:val="center"/>
      </w:pPr>
      <w:r>
        <w:rPr>
          <w:b/>
          <w:i w:val="0"/>
          <w:color w:val="1E3A5F"/>
          <w:sz w:val="20"/>
        </w:rPr>
        <w:t>Habib 'Arsy Tritura Ebsyar  ·  NIM G1A122128  ·  FKIK Universitas Jambi  ·  2026</w:t>
      </w:r>
    </w:p>
    <w:p>
      <w:r>
        <w:br w:type="page"/>
      </w:r>
    </w:p>
    <w:p>
      <w:pPr>
        <w:pStyle w:val="Heading1"/>
        <w:jc w:val="left"/>
      </w:pPr>
      <w:r>
        <w:rPr>
          <w:color w:val="1E3A5F"/>
          <w:sz w:val="32"/>
        </w:rPr>
        <w:t>APPENDIX — SCRIPT PRESENTASI 4–5 MENIT</w:t>
      </w:r>
    </w:p>
    <w:p>
      <w:r>
        <w:rPr>
          <w:b w:val="0"/>
          <w:i/>
          <w:color w:val="64748B"/>
          <w:sz w:val="20"/>
        </w:rPr>
        <w:t>Berikut adalah skrip singkat yang dapat digunakan sebagai panduan saat mendemonstrasikan HTML Demo di hadapan dosen penguji. Teks ini bukan untuk dibaca, melainkan sebagai kerangka bicara.</w:t>
      </w:r>
    </w:p>
    <w:p>
      <w:r>
        <w:rPr>
          <w:b/>
          <w:i w:val="0"/>
          <w:color w:val="0891B2"/>
          <w:sz w:val="21"/>
        </w:rPr>
        <w:t>[0:00 — LANDING]</w:t>
        <w:br/>
      </w:r>
      <w:r>
        <w:rPr>
          <w:b w:val="0"/>
          <w:i/>
          <w:color w:val="1E293B"/>
          <w:sz w:val="21"/>
        </w:rPr>
        <w:t>"Sebagai tambahan presentasi proposal saya, izinkan saya mendemonstrasikan secara langsung bagaimana output scoping review ini terlihat ketika dieksekusi. Saya akan tunjukkan 5 output utama dalam kurang dari 5 menit." [Klik tombol Mulai Demo]</w:t>
      </w:r>
    </w:p>
    <w:p/>
    <w:p>
      <w:r>
        <w:rPr>
          <w:b/>
          <w:i w:val="0"/>
          <w:color w:val="0891B2"/>
          <w:sz w:val="21"/>
        </w:rPr>
        <w:t>[0:20 — PRISMA-ScR FLOW]</w:t>
        <w:br/>
      </w:r>
      <w:r>
        <w:rPr>
          <w:b w:val="0"/>
          <w:i/>
          <w:color w:val="1E293B"/>
          <w:sz w:val="21"/>
        </w:rPr>
        <w:t>"Saya mulai dari alur seleksi literatur. Dari 468 artikel yang ditemukan di tiga database, setelah deduplikasi tersisa 310 rekaman. Melalui dua fase screening yang ketat — dengan Cohen's kappa 0,82 yang melebihi target minimal 0,80 — akhirnya 10 studi memenuhi seluruh kriteria inklusi dan masuk ke dalam pemetaan." [Tunjuk angka di setiap fase, lalu klik Selanjutnya]</w:t>
      </w:r>
    </w:p>
    <w:p/>
    <w:p>
      <w:r>
        <w:rPr>
          <w:b/>
          <w:i w:val="0"/>
          <w:color w:val="0891B2"/>
          <w:sz w:val="21"/>
        </w:rPr>
        <w:t>[1:20 — TABEL KARAKTERISTIK]</w:t>
        <w:br/>
      </w:r>
      <w:r>
        <w:rPr>
          <w:b w:val="0"/>
          <w:i/>
          <w:color w:val="1E293B"/>
          <w:sz w:val="21"/>
        </w:rPr>
        <w:t>"Inilah profil 10 studi yang diinklusi. Tabel ini bisa difilter — [klik filter RCT sebentar] — untuk melihat hanya studi RCT saja. Anda bisa melihat variasi desain, populasi, dosis, dan biomarker yang diekstrak secara sistematis menggunakan JBI Data Extraction Instrument." [Tunjuk kolom hasil, klik Selanjutnya]</w:t>
      </w:r>
    </w:p>
    <w:p/>
    <w:p>
      <w:r>
        <w:rPr>
          <w:b/>
          <w:i w:val="0"/>
          <w:color w:val="0891B2"/>
          <w:sz w:val="21"/>
        </w:rPr>
        <w:t>[2:20 — VISUALISASI]</w:t>
        <w:br/>
      </w:r>
      <w:r>
        <w:rPr>
          <w:b w:val="0"/>
          <w:i/>
          <w:color w:val="1E293B"/>
          <w:sz w:val="21"/>
        </w:rPr>
        <w:t>"Chart pertama menunjukkan IL-6 adalah biomarker yang paling sering diukur — 8 dari 10 studi — dan paling konsisten menunjukkan penurunan bermakna. Chart kedua menunjukkan tren peningkatan publikasi sejak 2020. Catatan penting: 6 dari 10 studi berasal dari Iran — ini sendiri adalah temuan yang mengisyaratkan perlunya replikasi di Asia Tenggara." [Klik Selanjutnya]</w:t>
      </w:r>
    </w:p>
    <w:p/>
    <w:p>
      <w:r>
        <w:rPr>
          <w:b/>
          <w:i w:val="0"/>
          <w:color w:val="0891B2"/>
          <w:sz w:val="21"/>
        </w:rPr>
        <w:t>[3:20 — EVIDENCE GAP MATRIX]</w:t>
        <w:br/>
      </w:r>
      <w:r>
        <w:rPr>
          <w:b w:val="0"/>
          <w:i/>
          <w:color w:val="1E293B"/>
          <w:sz w:val="21"/>
        </w:rPr>
        <w:t>"Ini adalah kontribusi terpenting penelitian ini. Matriks ini memperlihatkan di mana bukti ada dan di mana tidak. Perhatikan baris NLRP3 dan IDO/Kynurenine — keduanya merah semua, kosong total. Padahal secara mekanistik, dua jalur inilah yang paling membedakan neuroinflamasi dari jalur monoaminergik. Ini adalah knowledge gap yang harus diisi oleh RCT masa depan." [Klik Selanjutnya]</w:t>
      </w:r>
    </w:p>
    <w:p/>
    <w:p>
      <w:r>
        <w:rPr>
          <w:b/>
          <w:i w:val="0"/>
          <w:color w:val="0891B2"/>
          <w:sz w:val="21"/>
        </w:rPr>
        <w:t>[4:10 — SINTESIS]</w:t>
        <w:br/>
      </w:r>
      <w:r>
        <w:rPr>
          <w:b w:val="0"/>
          <w:i/>
          <w:color w:val="1E293B"/>
          <w:sz w:val="21"/>
        </w:rPr>
        <w:t>"Singkatnya, tiga temuan utama: IL-6 dan TNF-α paling responsif; efek terkuat pada defisiensi berat; dan bukti adjuvan VD+SSRI lebih konsisten dari monoterapi. Tiga gap utama: tidak ada data NLRP3/IDO, tidak ada populasi Indonesia, dan tidak ada data VD+SNRI. Demikian demo output scoping review ini. Terima kasih atas perhatian Bapak/Ibu penguji." [Selesai, 4:50]</w:t>
      </w:r>
    </w:p>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