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portTitle"/>
      </w:pPr>
      <w:r>
        <w:rPr>
          <w:rFonts w:ascii="Times New Roman" w:hAnsi="Times New Roman" w:cs="Times New Roman"/>
          <w:b w:val="0"/>
          <w:sz w:val="28"/>
        </w:rPr>
        <w:t>Системы баз данных</w:t>
      </w:r>
    </w:p>
    <w:p>
      <w:pPr>
        <w:pStyle w:val="ReportTitle"/>
      </w:pPr>
      <w:r>
        <w:rPr>
          <w:rFonts w:ascii="Times New Roman" w:hAnsi="Times New Roman" w:cs="Times New Roman"/>
          <w:b w:val="0"/>
          <w:sz w:val="28"/>
        </w:rPr>
        <w:t>Групповой проект</w:t>
      </w:r>
    </w:p>
    <w:p>
      <w:pPr>
        <w:pStyle w:val="ReportTitle"/>
      </w:pPr>
      <w:r>
        <w:rPr>
          <w:rFonts w:ascii="Times New Roman" w:hAnsi="Times New Roman" w:cs="Times New Roman"/>
          <w:b/>
          <w:sz w:val="28"/>
        </w:rPr>
        <w:t>УСР 1 – концептуальное проектирование</w:t>
      </w:r>
    </w:p>
    <w:p>
      <w:pPr>
        <w:pStyle w:val="ReportTitle"/>
      </w:pPr>
    </w:p>
    <w:p>
      <w:pPr>
        <w:pStyle w:val="ReportMeta"/>
      </w:pPr>
      <w:r>
        <w:rPr>
          <w:rFonts w:ascii="Times New Roman" w:hAnsi="Times New Roman" w:cs="Times New Roman"/>
          <w:sz w:val="28"/>
        </w:rPr>
        <w:t>Предметная область: «Афиша мероприятий VibeCity»</w:t>
      </w:r>
    </w:p>
    <w:p>
      <w:pPr>
        <w:pStyle w:val="ReportMeta"/>
      </w:pPr>
      <w:r>
        <w:rPr>
          <w:rFonts w:ascii="Times New Roman" w:hAnsi="Times New Roman" w:cs="Times New Roman"/>
          <w:sz w:val="28"/>
        </w:rPr>
        <w:t>Лидер команды: ______________________________</w:t>
      </w:r>
    </w:p>
    <w:p>
      <w:pPr>
        <w:pStyle w:val="ReportMeta"/>
      </w:pPr>
      <w:r>
        <w:rPr>
          <w:rFonts w:ascii="Times New Roman" w:hAnsi="Times New Roman" w:cs="Times New Roman"/>
          <w:sz w:val="28"/>
        </w:rPr>
        <w:t>Участники команды: ______________________________</w:t>
      </w:r>
    </w:p>
    <w:p>
      <w:pPr>
        <w:pStyle w:val="ReportTitle"/>
      </w:pP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1.  Выбор предметной области и группы пользователей</w:t>
      </w:r>
    </w:p>
    <w:p>
      <w:pPr/>
      <w:r>
        <w:rPr>
          <w:rFonts w:ascii="Times New Roman" w:hAnsi="Times New Roman" w:cs="Times New Roman"/>
          <w:sz w:val="28"/>
        </w:rPr>
        <w:t>Предметная область – информационная система афиши мероприятий и продажи билетов, предназначенная для учета пользователей, организаторов, площадок, мероприятий, билетов, отзывов и промокодов. В проекте рассматриваются публикация и модерация мероприятий, покупка билетов с выбором места, отзывы и управление справочниками. Платежный шлюз, видеотрансляции, чат и рекомендательная система в модель не входят.</w:t>
      </w:r>
    </w:p>
    <w:p>
      <w:pPr/>
      <w:r>
        <w:rPr>
          <w:rFonts w:ascii="Times New Roman" w:hAnsi="Times New Roman" w:cs="Times New Roman"/>
          <w:sz w:val="28"/>
        </w:rPr>
        <w:t>Группы пользователей: гость, зритель, организатор и администратор. Гость просматривает афишу. Зритель покупает билеты, хранит QR-коды и оставляет отзывы. Организатор создает свои мероприятия и видит статистику продаж. Администратор модерирует мероприятия, управляет пользователями, отзывами и справочниками.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2.  Неформальное описание предметной области</w:t>
      </w:r>
    </w:p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2.1.  Особенности учета информации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1.</w:t>
        <w:tab/>
        <w:t>Каждому пользователю присваивается уникальный код; сохраняются ФИО, телефон, email, хэш пароля, роль и признак блокировки.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2.</w:t>
        <w:tab/>
        <w:t>Каждому организатору, месту проведения и тегу присваивается уникальный код; сохраняются название, контактное лицо и телефон организатора, город, название, адрес и вместимость места, название и тип тега.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3.</w:t>
        <w:tab/>
        <w:t>Каждое мероприятие имеет уникальный код, название, дату, время, описание, категорию, цену, статус и ссылки на организатора, место, тег и автора карточки.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4.</w:t>
        <w:tab/>
        <w:t>Один организатор, место или тег может быть связан с многими мероприятиями; у каждого мероприятия ровно один организатор, одно место и один тег. Публично видны только опубликованные мероприятия; правки пользователя возвращают карточку на модерацию.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5.</w:t>
        <w:tab/>
        <w:t>Билет хранит пользователя, мероприятие, номер места, цену на момент покупки, статус и уникальный QR-код; промокод указывается необязательно. Одно место на мероприятие продается только один раз, а число активных билетов не превышает вместимость места.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6.</w:t>
        <w:tab/>
        <w:t>Один пользователь оставляет только один отзыв на мероприятие; оценка принимает значение от 1 до 5, отзыв доступен после покупки билета. Промокод принадлежит подарку, имеет уникальный код и скидку 0–100 %, после применения становится использованным.</w:t>
      </w:r>
    </w:p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2.2.  Информационные потребности администратора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1.</w:t>
        <w:tab/>
        <w:t>Получать список мероприятий на модерации с автором, площадкой и датой.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2.</w:t>
        <w:tab/>
        <w:t>Одобрять или отклонять мероприятие, просматривать все мероприятия с фильтрами и удалять их.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3.</w:t>
        <w:tab/>
        <w:t>Искать пользователей, блокировать и разблокировать их.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4.</w:t>
        <w:tab/>
        <w:t>Вести справочники мест, организаторов, тегов, подарков и промокодов, удалять отзывы.</w:t>
      </w:r>
    </w:p>
    <w:p>
      <w:pPr>
        <w:pStyle w:val="ReportListItem"/>
      </w:pPr>
      <w:r>
        <w:rPr>
          <w:rFonts w:ascii="Times New Roman" w:hAnsi="Times New Roman" w:cs="Times New Roman"/>
          <w:sz w:val="28"/>
        </w:rPr>
        <w:t>5.</w:t>
        <w:tab/>
        <w:t>Просматривать статистику: пользователей, мероприятия, активные билеты, отзывы, выручку.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3.  Выделение сущностей</w:t>
      </w:r>
    </w:p>
    <w:p>
      <w:pPr/>
      <w:r>
        <w:rPr>
          <w:rFonts w:ascii="Times New Roman" w:hAnsi="Times New Roman" w:cs="Times New Roman"/>
          <w:sz w:val="28"/>
        </w:rPr>
        <w:t>Сущности-объекты: «Пользователь», «Организатор», «Место проведения», «Тег», «Подарок», «Промокод». Сущности-процессы: «Мероприятие», «Билет», «Отзыв». Всего 9 сущностей. Центральная сущность — «Мероприятие»: она связывает организатора, место, тег и автора карточки, а от неё зависят билеты и отзывы.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4.  Атрибуты, домены, ограничения и значения по умолчанию</w:t>
      </w:r>
    </w:p>
    <w:p>
      <w:pPr/>
      <w:r>
        <w:rPr>
          <w:rFonts w:ascii="Times New Roman" w:hAnsi="Times New Roman" w:cs="Times New Roman"/>
          <w:sz w:val="28"/>
        </w:rPr>
        <w:t>PK – первичный ключ; FK – внешний ключ; обязательность «Да» означает, что значение NULL не допускается. Ниже описаны все девять сущностей; для справочников приведены ключевые атрибуты.</w:t>
      </w:r>
    </w:p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4.1.  Пользователь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КодПользователя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ФИО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Телефон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формат +375 XX XXX-XX-XX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Email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Строка(254)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корректный формат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Пароль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Строка(255)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bcrypt-хэш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Роль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USER / ADMIN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USER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ПризнакБлокировки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Логическое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false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4.2.  Организатор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КодОрганизатора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КонтактноеЛицо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Телефон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4.3.  Место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КодМеста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Город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Адрес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Строка(255)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Вместимость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4.4.  Тег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КодТега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Тип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4.5.  Мероприятие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КодМероприятия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КодОрганизатора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Организатор,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КодМеста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Место проведения,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КодТега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Тег,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КодАвтора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Пользователь, NULL допускается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Строка(200)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Дата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 ранее текущей даты при создании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Время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Время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формат ЧЧ:ММ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8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Описание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Текст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непустой текст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9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Категория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10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Цена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 (р.)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&gt;=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PENDING / APPROVED / REJECTED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APPROVED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4.6.  Отзыв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КодОтзыва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КодПользователя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Пользователь,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КодМероприятия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Мероприятие,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Оценка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от 1 до 5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Текст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Текст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непустой текст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4.7.  Подарок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КодПодарка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Название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Тип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Строка(100)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AVAILABLE / RESERVED / GIVEN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AVAILABLE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4.8.  Промокод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КодПромокода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КодПодарка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Подарок,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Строка(50)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непустая строка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Скидка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от 0 до 100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ACTIVE / USED / EXPIRED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ACTIVE</w:t>
            </w:r>
          </w:p>
        </w:tc>
      </w:tr>
    </w:tbl>
    <w:p>
      <w:pPr>
        <w:pStyle w:val="ReportHeading2"/>
      </w:pPr>
      <w:r>
        <w:rPr>
          <w:rFonts w:ascii="Times New Roman" w:hAnsi="Times New Roman" w:cs="Times New Roman"/>
          <w:b/>
          <w:sz w:val="28"/>
        </w:rPr>
        <w:t>4.9.  Билет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680"/>
        <w:gridCol w:w="2381"/>
        <w:gridCol w:w="1587"/>
        <w:gridCol w:w="2835"/>
        <w:gridCol w:w="1587"/>
      </w:tblGrid>
      <w:tr>
        <w:trPr>
          <w:tblHeader/>
        </w:trPr>
        <w:tc>
          <w:tcPr>
            <w:tcW w:type="dxa" w:w="680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type="dxa" w:w="238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Имя атрибута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Домен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Ограничения</w:t>
            </w:r>
          </w:p>
        </w:tc>
        <w:tc>
          <w:tcPr>
            <w:tcW w:type="dxa" w:w="1587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Значение по умолчанию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PK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КодБилета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PRIMARY KEY, UNIQUE, NOT NULL, &gt;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Автоинкремент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КодПользователя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Пользователь,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КодМероприятия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Мероприятие, NOT NULL; существующий 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КодПромокода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FK → Промокод, NULL допускается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NULL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НомерМеста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&gt;= 1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Не задано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Цена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Целое (р.)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&gt;= 0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Статус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Перечисление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ACTIVE / USED / CANCELLED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ACTIVE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type="dxa" w:w="238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QR-код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Строка(36)</w:t>
            </w:r>
          </w:p>
        </w:tc>
        <w:tc>
          <w:tcPr>
            <w:tcW w:type="dxa" w:w="2835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NOT NULL, UNIQUE, UUID</w:t>
            </w:r>
          </w:p>
        </w:tc>
        <w:tc>
          <w:tcPr>
            <w:tcW w:type="dxa" w:w="1587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Генерируется приложением</w:t>
            </w:r>
          </w:p>
        </w:tc>
      </w:tr>
    </w:tbl>
    <w:p>
      <w:pPr/>
      <w:r>
        <w:rPr>
          <w:rFonts w:ascii="Times New Roman" w:hAnsi="Times New Roman" w:cs="Times New Roman"/>
          <w:sz w:val="28"/>
        </w:rPr>
        <w:t>Дополнительные ограничения: для отзыва действует UNIQUE (КодПользователя, КодМероприятия), для билета — UNIQUE (КодМероприятия, НомерМеста). Удаление справочника с мероприятиями запрещено; удаление мероприятия каскадно удаляет билеты и отзывы; удаление пользователя сохраняет мероприятия с пустым автором. Промокод одноразовый, цена и скидка неотрицательны.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5.  Отношения между сущностями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65"/>
        <w:gridCol w:w="1191"/>
        <w:gridCol w:w="5216"/>
      </w:tblGrid>
      <w:tr>
        <w:trPr>
          <w:tblHeader/>
        </w:trPr>
        <w:tc>
          <w:tcPr>
            <w:tcW w:type="dxa" w:w="2665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Связь</w:t>
            </w:r>
          </w:p>
        </w:tc>
        <w:tc>
          <w:tcPr>
            <w:tcW w:type="dxa" w:w="1191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Тип</w:t>
            </w:r>
          </w:p>
        </w:tc>
        <w:tc>
          <w:tcPr>
            <w:tcW w:type="dxa" w:w="5216"/>
            <w:vAlign w:val="center"/>
            <w:shd w:val="clear" w:color="auto" w:fill="F2F2F2"/>
          </w:tcPr>
          <w:p>
            <w:pPr>
              <w:pStyle w:val="ReportTableHeader"/>
            </w:pPr>
            <w:r>
              <w:rPr>
                <w:rFonts w:ascii="Times New Roman" w:hAnsi="Times New Roman" w:cs="Times New Roman"/>
                <w:b/>
                <w:sz w:val="21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Билет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пользователя много билетов; билет принадлежит одному пользователю.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Мероприятие – Билет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мероприятия много билетов; билет относится к одному мероприятию.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Отзыв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Пользователь оставляет много отзывов; отзыв принадлежит одному пользователю.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Мероприятие – Отзыв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мероприятия много отзывов; отзыв относится к одному мероприятию.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Организатор – Мероприятие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организатора много мероприятий; у мероприятия один организатор.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Место – Мероприятие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На площадке много мероприятий; у мероприятия одно место.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Тег – Мероприятие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Один тег у многих мероприятий; у мероприятия один тег.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Мероприятие (автор)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0..1:M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Пользователь создает много карточек; автор может быть не указан.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Подарок – Промокод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У подарка много промокодов; промокод принадлежит одному подарку.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Промокод – Билет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0..1:M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Промокод применяется в билетах; у билета промокод может отсутствовать.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Мероприятие (через билеты)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M:M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Один пользователь покупает билеты на многие мероприятия; у мероприятия много зрителей.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Мероприятие (через отзывы)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M:M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Один пользователь пишет отзывы на многие мероприятия; у мероприятия много авторов отзывов.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Подарок – Мероприятие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M:M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Подарок связан с мероприятиями через промокоды и билеты; у мероприятия может быть много подарков.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Организатор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M:M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Пользователь создает карточки для разных организаторов; у организатора могут быть карточки разных пользователей.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pStyle w:val="ReportTableText"/>
              <w:jc w:val="center"/>
            </w:pPr>
            <w:r>
              <w:rPr>
                <w:rFonts w:ascii="Times New Roman" w:hAnsi="Times New Roman" w:cs="Times New Roman"/>
                <w:sz w:val="21"/>
              </w:rPr>
              <w:t>Пользователь – Место проведения</w:t>
            </w:r>
          </w:p>
        </w:tc>
        <w:tc>
          <w:tcPr>
            <w:tcW w:type="dxa" w:w="1191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M:M</w:t>
            </w:r>
          </w:p>
        </w:tc>
        <w:tc>
          <w:tcPr>
            <w:tcW w:type="dxa" w:w="5216"/>
            <w:vAlign w:val="top"/>
          </w:tcPr>
          <w:p>
            <w:pPr>
              <w:pStyle w:val="ReportTableText"/>
            </w:pPr>
            <w:r>
              <w:rPr>
                <w:rFonts w:ascii="Times New Roman" w:hAnsi="Times New Roman" w:cs="Times New Roman"/>
                <w:sz w:val="21"/>
              </w:rPr>
              <w:t>Пользователь посещает разные площадки; на одной площадке бывают разные пользователи.</w:t>
            </w:r>
          </w:p>
        </w:tc>
      </w:tr>
    </w:tbl>
    <w:p>
      <w:pPr/>
      <w:r>
        <w:rPr>
          <w:rFonts w:ascii="Times New Roman" w:hAnsi="Times New Roman" w:cs="Times New Roman"/>
          <w:sz w:val="28"/>
        </w:rPr>
        <w:t>Первые десять связей хранятся в базе через внешние ключи. Последние пять — концептуальные связи M:M, которые реализуются через промежуточные сущности: билеты, отзывы, промокоды и мероприятия.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6.  Внешняя и концептуальная схемы</w:t>
      </w:r>
    </w:p>
    <w:p>
      <w:pPr/>
      <w:r>
        <w:rPr>
          <w:rFonts w:ascii="Times New Roman" w:hAnsi="Times New Roman" w:cs="Times New Roman"/>
          <w:sz w:val="28"/>
        </w:rPr>
        <w:t>В модели три группы пользователей: зритель, организатор и администратор. Внешняя схема зрителя включает опубликованные мероприятия, площадки, организаторов, теги, отзывы, свои билеты и профиль. Внешняя схема организатора — свои мероприятия, справочники, продажи и профиль. Схема администратора включает все девять сущностей.</w:t>
      </w:r>
    </w:p>
    <w:p>
      <w:pPr/>
      <w:r>
        <w:rPr>
          <w:rFonts w:ascii="Times New Roman" w:hAnsi="Times New Roman" w:cs="Times New Roman"/>
          <w:sz w:val="28"/>
        </w:rPr>
        <w:t>Ниже на рисунке 1 приведена ER-диаграмма в нотации «вороньей лапки»: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072"/>
        <w:tblBorders>
          <w:top w:val="dashed" w:sz="6" w:space="0" w:color="BFBFBF"/>
          <w:left w:val="dashed" w:sz="6" w:space="0" w:color="BFBFBF"/>
          <w:bottom w:val="dashed" w:sz="6" w:space="0" w:color="BFBFBF"/>
          <w:right w:val="dashed" w:sz="6" w:space="0" w:color="BFBFBF"/>
          <w:insideH w:val="dashed" w:sz="6" w:space="0" w:color="BFBFBF"/>
          <w:insideV w:val="dashed" w:sz="6" w:space="0" w:color="BFBFBF"/>
        </w:tblBorders>
      </w:tblPr>
      <w:tblGrid>
        <w:gridCol w:w="9071"/>
      </w:tblGrid>
      <w:tr>
        <w:trPr>
          <w:trHeight w:val="2268" w:hRule="atLeast"/>
        </w:trPr>
        <w:tc>
          <w:tcPr>
            <w:tcW w:type="dxa" w:w="9071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cs="Times New Roman"/>
                <w:color w:val="969696"/>
                <w:sz w:val="24"/>
              </w:rPr>
              <w:t>[ Место для рисунка 1 — вставьте ER-диаграмму ]</w:t>
            </w:r>
          </w:p>
        </w:tc>
      </w:tr>
    </w:tbl>
    <w:p>
      <w:pPr>
        <w:pStyle w:val="ReportCaption"/>
      </w:pPr>
      <w:r>
        <w:rPr>
          <w:rFonts w:ascii="Times New Roman" w:hAnsi="Times New Roman" w:cs="Times New Roman"/>
          <w:sz w:val="24"/>
        </w:rPr>
        <w:t>Рисунок 1. Концептуальная ER-диаграмма VibeCity.</w:t>
        <w:br/>
        <w:t>Девять сущностей и десять связей между таблицами.</w:t>
      </w:r>
    </w:p>
    <w:p>
      <w:pPr>
        <w:pStyle w:val="ReportHeading1"/>
      </w:pPr>
      <w:r>
        <w:rPr>
          <w:rFonts w:ascii="Times New Roman" w:hAnsi="Times New Roman" w:cs="Times New Roman"/>
          <w:b/>
          <w:sz w:val="28"/>
        </w:rPr>
        <w:t>7.  Итоги первого этапа</w:t>
      </w:r>
    </w:p>
    <w:p>
      <w:pPr/>
      <w:r>
        <w:rPr>
          <w:rFonts w:ascii="Times New Roman" w:hAnsi="Times New Roman" w:cs="Times New Roman"/>
          <w:sz w:val="28"/>
        </w:rPr>
        <w:t>Для предметной области «Афиша мероприятий VibeCity» выделены девять сущностей и пятнадцать связей: десять типа 1:M и пять концептуальных M:M. Описаны атрибуты, домены и ограничения, сформулированы потребности администратора и построена ER-диаграмма. Модель готова к нормализации и физической реализации на MySQL 8.0 и Prisma ORM.</w:t>
      </w:r>
    </w:p>
    <w:sectPr w:rsidR="00FC693F" w:rsidRPr="0006063C" w:rsidSect="00034616">
      <w:pgSz w:w="11906" w:h="16838"/>
      <w:pgMar w:top="1134" w:right="1134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  <w:lang w:val="ru-RU" w:eastAsia="ru-RU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itle">
    <w:name w:val="Report Title"/>
    <w:basedOn w:val="Normal"/>
    <w:pPr>
      <w:spacing w:line="276" w:lineRule="auto" w:before="0" w:after="0"/>
      <w:ind w:firstLine="0"/>
      <w:jc w:val="center"/>
    </w:pPr>
    <w:rPr>
      <w:rFonts w:ascii="Times New Roman" w:hAnsi="Times New Roman"/>
      <w:sz w:val="28"/>
      <w:lang w:val="ru-RU" w:eastAsia="ru-RU" w:bidi="ar-SA"/>
    </w:rPr>
  </w:style>
  <w:style w:type="paragraph" w:customStyle="1" w:styleId="ReportMeta">
    <w:name w:val="Report Meta"/>
    <w:basedOn w:val="Normal"/>
    <w:pPr>
      <w:spacing w:line="360" w:lineRule="auto" w:before="0" w:after="0"/>
      <w:ind w:firstLine="0"/>
      <w:jc w:val="left"/>
    </w:pPr>
    <w:rPr>
      <w:rFonts w:ascii="Times New Roman" w:hAnsi="Times New Roman"/>
      <w:sz w:val="28"/>
      <w:lang w:val="ru-RU" w:eastAsia="ru-RU" w:bidi="ar-SA"/>
    </w:rPr>
  </w:style>
  <w:style w:type="paragraph" w:customStyle="1" w:styleId="ReportHeading1">
    <w:name w:val="Report Heading 1"/>
    <w:basedOn w:val="Normal"/>
    <w:pPr>
      <w:keepNext/>
      <w:spacing w:before="240" w:after="120"/>
      <w:ind w:firstLine="709"/>
      <w:jc w:val="left"/>
      <w:outlineLvl w:val="0"/>
    </w:pPr>
    <w:rPr>
      <w:rFonts w:ascii="Times New Roman" w:hAnsi="Times New Roman"/>
      <w:b/>
      <w:sz w:val="28"/>
      <w:lang w:val="ru-RU" w:eastAsia="ru-RU" w:bidi="ar-SA"/>
    </w:rPr>
  </w:style>
  <w:style w:type="paragraph" w:customStyle="1" w:styleId="ReportHeading2">
    <w:name w:val="Report Heading 2"/>
    <w:basedOn w:val="Normal"/>
    <w:pPr>
      <w:keepNext/>
      <w:spacing w:before="200" w:after="80"/>
      <w:ind w:firstLine="709"/>
      <w:jc w:val="left"/>
      <w:outlineLvl w:val="1"/>
    </w:pPr>
    <w:rPr>
      <w:rFonts w:ascii="Times New Roman" w:hAnsi="Times New Roman"/>
      <w:b/>
      <w:sz w:val="28"/>
      <w:lang w:val="ru-RU" w:eastAsia="ru-RU" w:bidi="ar-SA"/>
    </w:rPr>
  </w:style>
  <w:style w:type="paragraph" w:customStyle="1" w:styleId="ReportCaption">
    <w:name w:val="Report Caption"/>
    <w:basedOn w:val="Normal"/>
    <w:pPr>
      <w:spacing w:line="240" w:lineRule="auto" w:before="120" w:after="120"/>
      <w:ind w:firstLine="0"/>
      <w:jc w:val="center"/>
    </w:pPr>
    <w:rPr>
      <w:rFonts w:ascii="Times New Roman" w:hAnsi="Times New Roman"/>
      <w:sz w:val="24"/>
      <w:lang w:val="ru-RU" w:eastAsia="ru-RU" w:bidi="ar-SA"/>
    </w:rPr>
  </w:style>
  <w:style w:type="paragraph" w:customStyle="1" w:styleId="ReportTableText">
    <w:name w:val="Report Table Text"/>
    <w:basedOn w:val="Normal"/>
    <w:pPr>
      <w:spacing w:line="240" w:lineRule="auto" w:before="0" w:after="0"/>
      <w:ind w:firstLine="0"/>
      <w:jc w:val="left"/>
    </w:pPr>
    <w:rPr>
      <w:rFonts w:ascii="Times New Roman" w:hAnsi="Times New Roman"/>
      <w:sz w:val="21"/>
      <w:lang w:val="ru-RU" w:eastAsia="ru-RU" w:bidi="ar-SA"/>
    </w:rPr>
  </w:style>
  <w:style w:type="paragraph" w:customStyle="1" w:styleId="ReportTableHeader">
    <w:name w:val="Report Table Header"/>
    <w:basedOn w:val="Normal"/>
    <w:pPr>
      <w:spacing w:line="240" w:lineRule="auto" w:before="0" w:after="0"/>
      <w:ind w:firstLine="0"/>
      <w:jc w:val="center"/>
    </w:pPr>
    <w:rPr>
      <w:rFonts w:ascii="Times New Roman" w:hAnsi="Times New Roman"/>
      <w:b/>
      <w:sz w:val="21"/>
      <w:lang w:val="ru-RU" w:eastAsia="ru-RU" w:bidi="ar-SA"/>
    </w:rPr>
  </w:style>
  <w:style w:type="paragraph" w:customStyle="1" w:styleId="ReportListItem">
    <w:name w:val="Report List Item"/>
    <w:basedOn w:val="Normal"/>
    <w:pPr>
      <w:spacing w:line="360" w:lineRule="auto" w:before="0" w:after="0"/>
      <w:ind w:left="1417" w:hanging="454"/>
      <w:jc w:val="both"/>
    </w:pPr>
    <w:rPr>
      <w:rFonts w:ascii="Times New Roman" w:hAnsi="Times New Roman"/>
      <w:sz w:val="28"/>
      <w:lang w:val="ru-RU" w:eastAsia="ru-RU" w:bidi="ar-SA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УСР 1 — концептуальное проектирование базы данных VibeCity</dc:title>
  <dc:subject>Системы баз данных</dc:subject>
  <dc:creator/>
  <cp:keywords/>
  <dc:description>Отчёт по УСР 1 для проекта VibeCity (афиша мероприятий).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