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portTitle"/>
      </w:pPr>
      <w:r>
        <w:rPr>
          <w:rFonts w:ascii="Times New Roman" w:hAnsi="Times New Roman" w:cs="Times New Roman"/>
          <w:b w:val="0"/>
          <w:sz w:val="28"/>
        </w:rPr>
        <w:t>Системы баз данных</w:t>
      </w:r>
    </w:p>
    <w:p>
      <w:pPr>
        <w:pStyle w:val="ReportTitle"/>
      </w:pPr>
      <w:r>
        <w:rPr>
          <w:rFonts w:ascii="Times New Roman" w:hAnsi="Times New Roman" w:cs="Times New Roman"/>
          <w:b w:val="0"/>
          <w:sz w:val="28"/>
        </w:rPr>
        <w:t>Групповой проект</w:t>
      </w:r>
    </w:p>
    <w:p>
      <w:pPr>
        <w:pStyle w:val="ReportTitle"/>
      </w:pPr>
      <w:r>
        <w:rPr>
          <w:rFonts w:ascii="Times New Roman" w:hAnsi="Times New Roman" w:cs="Times New Roman"/>
          <w:b/>
          <w:sz w:val="28"/>
        </w:rPr>
        <w:t>УСР 1 – концептуальное проектирование</w:t>
      </w:r>
    </w:p>
    <w:p>
      <w:pPr>
        <w:pStyle w:val="ReportTitle"/>
      </w:pPr>
    </w:p>
    <w:p>
      <w:pPr>
        <w:pStyle w:val="ReportMeta"/>
      </w:pPr>
      <w:r>
        <w:rPr>
          <w:rFonts w:ascii="Times New Roman" w:hAnsi="Times New Roman" w:cs="Times New Roman"/>
          <w:sz w:val="28"/>
        </w:rPr>
        <w:t>Предметная область: «Афиша мероприятий VibeCity»</w:t>
      </w:r>
    </w:p>
    <w:p>
      <w:pPr>
        <w:pStyle w:val="ReportMeta"/>
      </w:pPr>
      <w:r>
        <w:rPr>
          <w:rFonts w:ascii="Times New Roman" w:hAnsi="Times New Roman" w:cs="Times New Roman"/>
          <w:sz w:val="28"/>
        </w:rPr>
        <w:t>Лидер команды: ______________________________</w:t>
      </w:r>
    </w:p>
    <w:p>
      <w:pPr>
        <w:pStyle w:val="ReportMeta"/>
      </w:pPr>
      <w:r>
        <w:rPr>
          <w:rFonts w:ascii="Times New Roman" w:hAnsi="Times New Roman" w:cs="Times New Roman"/>
          <w:sz w:val="28"/>
        </w:rPr>
        <w:t>Участники команды: ______________________________</w:t>
      </w:r>
    </w:p>
    <w:p>
      <w:pPr>
        <w:pStyle w:val="ReportTitle"/>
      </w:pPr>
    </w:p>
    <w:p>
      <w:pPr>
        <w:pStyle w:val="ReportHeading1"/>
      </w:pPr>
      <w:r>
        <w:rPr>
          <w:rFonts w:ascii="Times New Roman" w:hAnsi="Times New Roman" w:cs="Times New Roman"/>
          <w:b/>
          <w:sz w:val="28"/>
        </w:rPr>
        <w:t>1.  Выбор предметной области и группы пользователей</w:t>
      </w:r>
    </w:p>
    <w:p>
      <w:pPr/>
      <w:r>
        <w:rPr>
          <w:rFonts w:ascii="Times New Roman" w:hAnsi="Times New Roman" w:cs="Times New Roman"/>
          <w:sz w:val="28"/>
        </w:rPr>
        <w:t>Предметная область – информационная система афиши мероприятий и продажи билетов, предназначенная для учета пользователей, организаторов, площадок, мероприятий, билетов, отзывов и промокодов. В проекте рассматриваются публикация и модерация мероприятий, покупка билетов с выбором места, отзывы и управление справочниками. Платежный шлюз, видеотрансляции, чат и рекомендательная система в модель не входят.</w:t>
      </w:r>
    </w:p>
    <w:p>
      <w:pPr/>
      <w:r>
        <w:rPr>
          <w:rFonts w:ascii="Times New Roman" w:hAnsi="Times New Roman" w:cs="Times New Roman"/>
          <w:sz w:val="28"/>
        </w:rPr>
        <w:t>Группы пользователей: гость, зритель, организатор и администратор. Гость просматривает афишу. Зритель покупает билеты, хранит QR-коды и оставляет отзывы. Организатор создает свои мероприятия и видит статистику продаж. Администратор модерирует мероприятия, управляет пользователями, отзывами и справочниками.</w:t>
      </w:r>
    </w:p>
    <w:p>
      <w:pPr>
        <w:pStyle w:val="ReportHeading1"/>
      </w:pPr>
      <w:r>
        <w:rPr>
          <w:rFonts w:ascii="Times New Roman" w:hAnsi="Times New Roman" w:cs="Times New Roman"/>
          <w:b/>
          <w:sz w:val="28"/>
        </w:rPr>
        <w:t>2.  Неформальное описание предметной области</w:t>
      </w:r>
    </w:p>
    <w:p>
      <w:pPr>
        <w:pStyle w:val="ReportHeading2"/>
      </w:pPr>
      <w:r>
        <w:rPr>
          <w:rFonts w:ascii="Times New Roman" w:hAnsi="Times New Roman" w:cs="Times New Roman"/>
          <w:b/>
          <w:sz w:val="28"/>
        </w:rPr>
        <w:t>2.1.  Особенности учета информации</w:t>
      </w:r>
    </w:p>
    <w:p>
      <w:pPr>
        <w:pStyle w:val="ReportListItem"/>
      </w:pPr>
      <w:r>
        <w:rPr>
          <w:rFonts w:ascii="Times New Roman" w:hAnsi="Times New Roman" w:cs="Times New Roman"/>
          <w:sz w:val="28"/>
        </w:rPr>
        <w:t>1.</w:t>
        <w:tab/>
        <w:t>Каждому пользователю присваивается уникальный код; сохраняются ФИО, телефон, email, хэш пароля, роль и признак блокировки.</w:t>
      </w:r>
    </w:p>
    <w:p>
      <w:pPr>
        <w:pStyle w:val="ReportListItem"/>
      </w:pPr>
      <w:r>
        <w:rPr>
          <w:rFonts w:ascii="Times New Roman" w:hAnsi="Times New Roman" w:cs="Times New Roman"/>
          <w:sz w:val="28"/>
        </w:rPr>
        <w:t>2.</w:t>
        <w:tab/>
        <w:t>Каждому организатору, месту проведения и тегу присваивается уникальный код; сохраняются название, контактное лицо и телефон организатора, город, название, адрес и вместимость места, название и тип тега.</w:t>
      </w:r>
    </w:p>
    <w:p>
      <w:pPr>
        <w:pStyle w:val="ReportListItem"/>
      </w:pPr>
      <w:r>
        <w:rPr>
          <w:rFonts w:ascii="Times New Roman" w:hAnsi="Times New Roman" w:cs="Times New Roman"/>
          <w:sz w:val="28"/>
        </w:rPr>
        <w:t>3.</w:t>
        <w:tab/>
        <w:t>Каждое мероприятие имеет уникальный код, название, дату, время, описание, категорию, цену, статус и ссылки на организатора, место, тег и автора карточки.</w:t>
      </w:r>
    </w:p>
    <w:p>
      <w:pPr>
        <w:pStyle w:val="ReportListItem"/>
      </w:pPr>
      <w:r>
        <w:rPr>
          <w:rFonts w:ascii="Times New Roman" w:hAnsi="Times New Roman" w:cs="Times New Roman"/>
          <w:sz w:val="28"/>
        </w:rPr>
        <w:t>4.</w:t>
        <w:tab/>
        <w:t>Один организатор, место или тег может быть связан с многими мероприятиями; у каждого мероприятия ровно один организатор, одно место и один тег. Публично видны только опубликованные мероприятия; правки пользователя возвращают карточку на модерацию.</w:t>
      </w:r>
    </w:p>
    <w:p>
      <w:pPr>
        <w:pStyle w:val="ReportListItem"/>
      </w:pPr>
      <w:r>
        <w:rPr>
          <w:rFonts w:ascii="Times New Roman" w:hAnsi="Times New Roman" w:cs="Times New Roman"/>
          <w:sz w:val="28"/>
        </w:rPr>
        <w:t>5.</w:t>
        <w:tab/>
        <w:t>Билет хранит пользователя, мероприятие, номер места, цену на момент покупки, статус и уникальный QR-код; промокод указывается необязательно. Одно место на мероприятие продается только один раз, а число активных билетов не превышает вместимость места.</w:t>
      </w:r>
    </w:p>
    <w:p>
      <w:pPr>
        <w:pStyle w:val="ReportListItem"/>
      </w:pPr>
      <w:r>
        <w:rPr>
          <w:rFonts w:ascii="Times New Roman" w:hAnsi="Times New Roman" w:cs="Times New Roman"/>
          <w:sz w:val="28"/>
        </w:rPr>
        <w:t>6.</w:t>
        <w:tab/>
        <w:t>Один пользователь оставляет только один отзыв на мероприятие; оценка принимает значение от 1 до 5, отзыв доступен после покупки билета. Промокод принадлежит подарку, имеет уникальный код и скидку 0–100 %, после применения становится использованным.</w:t>
      </w:r>
    </w:p>
    <w:p>
      <w:pPr>
        <w:pStyle w:val="ReportHeading2"/>
      </w:pPr>
      <w:r>
        <w:rPr>
          <w:rFonts w:ascii="Times New Roman" w:hAnsi="Times New Roman" w:cs="Times New Roman"/>
          <w:b/>
          <w:sz w:val="28"/>
        </w:rPr>
        <w:t>2.2.  Информационные потребности администратора</w:t>
      </w:r>
    </w:p>
    <w:p>
      <w:pPr>
        <w:pStyle w:val="ReportListItem"/>
      </w:pPr>
      <w:r>
        <w:rPr>
          <w:rFonts w:ascii="Times New Roman" w:hAnsi="Times New Roman" w:cs="Times New Roman"/>
          <w:sz w:val="28"/>
        </w:rPr>
        <w:t>1.</w:t>
        <w:tab/>
        <w:t>Получать список мероприятий на модерации с автором, площадкой и датой.</w:t>
      </w:r>
    </w:p>
    <w:p>
      <w:pPr>
        <w:pStyle w:val="ReportListItem"/>
      </w:pPr>
      <w:r>
        <w:rPr>
          <w:rFonts w:ascii="Times New Roman" w:hAnsi="Times New Roman" w:cs="Times New Roman"/>
          <w:sz w:val="28"/>
        </w:rPr>
        <w:t>2.</w:t>
        <w:tab/>
        <w:t>Одобрять или отклонять мероприятие, просматривать все мероприятия с фильтрами и удалять их.</w:t>
      </w:r>
    </w:p>
    <w:p>
      <w:pPr>
        <w:pStyle w:val="ReportListItem"/>
      </w:pPr>
      <w:r>
        <w:rPr>
          <w:rFonts w:ascii="Times New Roman" w:hAnsi="Times New Roman" w:cs="Times New Roman"/>
          <w:sz w:val="28"/>
        </w:rPr>
        <w:t>3.</w:t>
        <w:tab/>
        <w:t>Искать пользователей, блокировать и разблокировать их.</w:t>
      </w:r>
    </w:p>
    <w:p>
      <w:pPr>
        <w:pStyle w:val="ReportListItem"/>
      </w:pPr>
      <w:r>
        <w:rPr>
          <w:rFonts w:ascii="Times New Roman" w:hAnsi="Times New Roman" w:cs="Times New Roman"/>
          <w:sz w:val="28"/>
        </w:rPr>
        <w:t>4.</w:t>
        <w:tab/>
        <w:t>Вести справочники мест, организаторов, тегов, подарков и промокодов, удалять отзывы.</w:t>
      </w:r>
    </w:p>
    <w:p>
      <w:pPr>
        <w:pStyle w:val="ReportListItem"/>
      </w:pPr>
      <w:r>
        <w:rPr>
          <w:rFonts w:ascii="Times New Roman" w:hAnsi="Times New Roman" w:cs="Times New Roman"/>
          <w:sz w:val="28"/>
        </w:rPr>
        <w:t>5.</w:t>
        <w:tab/>
        <w:t>Просматривать статистику: пользователей, мероприятия, активные билеты, отзывы, выручку.</w:t>
      </w:r>
    </w:p>
    <w:p>
      <w:pPr>
        <w:pStyle w:val="ReportHeading1"/>
      </w:pPr>
      <w:r>
        <w:rPr>
          <w:rFonts w:ascii="Times New Roman" w:hAnsi="Times New Roman" w:cs="Times New Roman"/>
          <w:b/>
          <w:sz w:val="28"/>
        </w:rPr>
        <w:t>3.  Выделение сущностей</w:t>
      </w:r>
    </w:p>
    <w:p>
      <w:pPr/>
      <w:r>
        <w:rPr>
          <w:rFonts w:ascii="Times New Roman" w:hAnsi="Times New Roman" w:cs="Times New Roman"/>
          <w:sz w:val="28"/>
        </w:rPr>
        <w:t>Сущности-объекты: «Пользователь», «Организатор», «Место проведения», «Тег», «Подарок», «Промокод». Сущности-процессы: «Мероприятие», «Билет», «Отзыв». Всего 9 сущностей. В отчёте детально рассматриваются четыре основные: «Пользователь», «Мероприятие», «Билет» и «Отзыв». Остальные пять — справочные: организатор (название, контактное лицо, телефон), место (город, название, адрес, вместимость), тег (название, тип), подарок (название, описание, тип, статус) и промокод (подарок, код, скидка, статус).</w:t>
      </w:r>
    </w:p>
    <w:p>
      <w:pPr>
        <w:pStyle w:val="ReportHeading1"/>
      </w:pPr>
      <w:r>
        <w:rPr>
          <w:rFonts w:ascii="Times New Roman" w:hAnsi="Times New Roman" w:cs="Times New Roman"/>
          <w:b/>
          <w:sz w:val="28"/>
        </w:rPr>
        <w:t>4.  Атрибуты, домены, ограничения и значения по умолчанию</w:t>
      </w:r>
    </w:p>
    <w:p>
      <w:pPr/>
      <w:r>
        <w:rPr>
          <w:rFonts w:ascii="Times New Roman" w:hAnsi="Times New Roman" w:cs="Times New Roman"/>
          <w:sz w:val="28"/>
        </w:rPr>
        <w:t>PK – первичный ключ; FK – внешний ключ; обязательность «Да» означает, что значение NULL не допускается. Детально описаны четыре основные сущности; полный состав атрибутов справочников приведён в физической модели Prisma.</w:t>
      </w:r>
    </w:p>
    <w:p>
      <w:pPr>
        <w:pStyle w:val="ReportHeading2"/>
      </w:pPr>
      <w:r>
        <w:rPr>
          <w:rFonts w:ascii="Times New Roman" w:hAnsi="Times New Roman" w:cs="Times New Roman"/>
          <w:b/>
          <w:sz w:val="28"/>
        </w:rPr>
        <w:t>4.1.  Пользователь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072"/>
        <w:tblCellMar>
          <w:top w:w="40" w:type="dxa"/>
          <w:start w:w="80" w:type="dxa"/>
          <w:bottom w:w="40" w:type="dxa"/>
          <w:end w:w="80" w:type="dxa"/>
        </w:tblCellMar>
      </w:tblPr>
      <w:tblGrid>
        <w:gridCol w:w="680"/>
        <w:gridCol w:w="2381"/>
        <w:gridCol w:w="1587"/>
        <w:gridCol w:w="2835"/>
        <w:gridCol w:w="1587"/>
      </w:tblGrid>
      <w:tr>
        <w:trPr>
          <w:tblHeader/>
        </w:trPr>
        <w:tc>
          <w:tcPr>
            <w:tcW w:type="dxa" w:w="680"/>
            <w:vAlign w:val="center"/>
            <w:shd w:val="clear" w:color="auto" w:fill="F2F2F2"/>
          </w:tcPr>
          <w:p>
            <w:pPr>
              <w:pStyle w:val="ReportTableHeader"/>
            </w:pPr>
            <w:r>
              <w:rPr>
                <w:rFonts w:ascii="Times New Roman" w:hAnsi="Times New Roman" w:cs="Times New Roman"/>
                <w:b/>
                <w:sz w:val="21"/>
              </w:rPr>
              <w:t>№</w:t>
            </w:r>
          </w:p>
        </w:tc>
        <w:tc>
          <w:tcPr>
            <w:tcW w:type="dxa" w:w="2381"/>
            <w:vAlign w:val="center"/>
            <w:shd w:val="clear" w:color="auto" w:fill="F2F2F2"/>
          </w:tcPr>
          <w:p>
            <w:pPr>
              <w:pStyle w:val="ReportTableHeader"/>
            </w:pPr>
            <w:r>
              <w:rPr>
                <w:rFonts w:ascii="Times New Roman" w:hAnsi="Times New Roman" w:cs="Times New Roman"/>
                <w:b/>
                <w:sz w:val="21"/>
              </w:rPr>
              <w:t>Имя атрибута</w:t>
            </w:r>
          </w:p>
        </w:tc>
        <w:tc>
          <w:tcPr>
            <w:tcW w:type="dxa" w:w="1587"/>
            <w:vAlign w:val="center"/>
            <w:shd w:val="clear" w:color="auto" w:fill="F2F2F2"/>
          </w:tcPr>
          <w:p>
            <w:pPr>
              <w:pStyle w:val="ReportTableHeader"/>
            </w:pPr>
            <w:r>
              <w:rPr>
                <w:rFonts w:ascii="Times New Roman" w:hAnsi="Times New Roman" w:cs="Times New Roman"/>
                <w:b/>
                <w:sz w:val="21"/>
              </w:rPr>
              <w:t>Домен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pPr>
              <w:pStyle w:val="ReportTableHeader"/>
            </w:pPr>
            <w:r>
              <w:rPr>
                <w:rFonts w:ascii="Times New Roman" w:hAnsi="Times New Roman" w:cs="Times New Roman"/>
                <w:b/>
                <w:sz w:val="21"/>
              </w:rPr>
              <w:t>Ограничения</w:t>
            </w:r>
          </w:p>
        </w:tc>
        <w:tc>
          <w:tcPr>
            <w:tcW w:type="dxa" w:w="1587"/>
            <w:vAlign w:val="center"/>
            <w:shd w:val="clear" w:color="auto" w:fill="F2F2F2"/>
          </w:tcPr>
          <w:p>
            <w:pPr>
              <w:pStyle w:val="ReportTableHeader"/>
            </w:pPr>
            <w:r>
              <w:rPr>
                <w:rFonts w:ascii="Times New Roman" w:hAnsi="Times New Roman" w:cs="Times New Roman"/>
                <w:b/>
                <w:sz w:val="21"/>
              </w:rPr>
              <w:t>Значение по умолчанию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pStyle w:val="ReportTableText"/>
              <w:jc w:val="center"/>
            </w:pPr>
            <w:r>
              <w:rPr>
                <w:rFonts w:ascii="Times New Roman" w:hAnsi="Times New Roman" w:cs="Times New Roman"/>
                <w:sz w:val="21"/>
              </w:rPr>
              <w:t>PK</w:t>
            </w:r>
          </w:p>
        </w:tc>
        <w:tc>
          <w:tcPr>
            <w:tcW w:type="dxa" w:w="2381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КодПользователя</w:t>
            </w:r>
          </w:p>
        </w:tc>
        <w:tc>
          <w:tcPr>
            <w:tcW w:type="dxa" w:w="1587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Целое</w:t>
            </w:r>
          </w:p>
        </w:tc>
        <w:tc>
          <w:tcPr>
            <w:tcW w:type="dxa" w:w="2835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PRIMARY KEY, UNIQUE, NOT NULL, &gt; 0</w:t>
            </w:r>
          </w:p>
        </w:tc>
        <w:tc>
          <w:tcPr>
            <w:tcW w:type="dxa" w:w="1587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Автоинкремент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pStyle w:val="ReportTableText"/>
              <w:jc w:val="center"/>
            </w:pPr>
            <w:r>
              <w:rPr>
                <w:rFonts w:ascii="Times New Roman" w:hAnsi="Times New Roman" w:cs="Times New Roman"/>
                <w:sz w:val="21"/>
              </w:rPr>
              <w:t>1</w:t>
            </w:r>
          </w:p>
        </w:tc>
        <w:tc>
          <w:tcPr>
            <w:tcW w:type="dxa" w:w="2381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ФИО</w:t>
            </w:r>
          </w:p>
        </w:tc>
        <w:tc>
          <w:tcPr>
            <w:tcW w:type="dxa" w:w="1587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Строка(150)</w:t>
            </w:r>
          </w:p>
        </w:tc>
        <w:tc>
          <w:tcPr>
            <w:tcW w:type="dxa" w:w="2835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NOT NULL, непустая строка</w:t>
            </w:r>
          </w:p>
        </w:tc>
        <w:tc>
          <w:tcPr>
            <w:tcW w:type="dxa" w:w="1587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Не задано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pStyle w:val="ReportTableText"/>
              <w:jc w:val="center"/>
            </w:pPr>
            <w:r>
              <w:rPr>
                <w:rFonts w:ascii="Times New Roman" w:hAnsi="Times New Roman" w:cs="Times New Roman"/>
                <w:sz w:val="21"/>
              </w:rPr>
              <w:t>2</w:t>
            </w:r>
          </w:p>
        </w:tc>
        <w:tc>
          <w:tcPr>
            <w:tcW w:type="dxa" w:w="2381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Телефон</w:t>
            </w:r>
          </w:p>
        </w:tc>
        <w:tc>
          <w:tcPr>
            <w:tcW w:type="dxa" w:w="1587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Строка(20)</w:t>
            </w:r>
          </w:p>
        </w:tc>
        <w:tc>
          <w:tcPr>
            <w:tcW w:type="dxa" w:w="2835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NOT NULL, UNIQUE, формат +375 XX XXX-XX-XX</w:t>
            </w:r>
          </w:p>
        </w:tc>
        <w:tc>
          <w:tcPr>
            <w:tcW w:type="dxa" w:w="1587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Не задано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pStyle w:val="ReportTableText"/>
              <w:jc w:val="center"/>
            </w:pPr>
            <w:r>
              <w:rPr>
                <w:rFonts w:ascii="Times New Roman" w:hAnsi="Times New Roman" w:cs="Times New Roman"/>
                <w:sz w:val="21"/>
              </w:rPr>
              <w:t>3</w:t>
            </w:r>
          </w:p>
        </w:tc>
        <w:tc>
          <w:tcPr>
            <w:tcW w:type="dxa" w:w="2381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Email</w:t>
            </w:r>
          </w:p>
        </w:tc>
        <w:tc>
          <w:tcPr>
            <w:tcW w:type="dxa" w:w="1587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Строка(254)</w:t>
            </w:r>
          </w:p>
        </w:tc>
        <w:tc>
          <w:tcPr>
            <w:tcW w:type="dxa" w:w="2835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NOT NULL, UNIQUE, корректный формат</w:t>
            </w:r>
          </w:p>
        </w:tc>
        <w:tc>
          <w:tcPr>
            <w:tcW w:type="dxa" w:w="1587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Не задано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pStyle w:val="ReportTableText"/>
              <w:jc w:val="center"/>
            </w:pPr>
            <w:r>
              <w:rPr>
                <w:rFonts w:ascii="Times New Roman" w:hAnsi="Times New Roman" w:cs="Times New Roman"/>
                <w:sz w:val="21"/>
              </w:rPr>
              <w:t>4</w:t>
            </w:r>
          </w:p>
        </w:tc>
        <w:tc>
          <w:tcPr>
            <w:tcW w:type="dxa" w:w="2381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Пароль</w:t>
            </w:r>
          </w:p>
        </w:tc>
        <w:tc>
          <w:tcPr>
            <w:tcW w:type="dxa" w:w="1587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Строка(255)</w:t>
            </w:r>
          </w:p>
        </w:tc>
        <w:tc>
          <w:tcPr>
            <w:tcW w:type="dxa" w:w="2835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NOT NULL, bcrypt-хэш</w:t>
            </w:r>
          </w:p>
        </w:tc>
        <w:tc>
          <w:tcPr>
            <w:tcW w:type="dxa" w:w="1587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Не задано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pStyle w:val="ReportTableText"/>
              <w:jc w:val="center"/>
            </w:pPr>
            <w:r>
              <w:rPr>
                <w:rFonts w:ascii="Times New Roman" w:hAnsi="Times New Roman" w:cs="Times New Roman"/>
                <w:sz w:val="21"/>
              </w:rPr>
              <w:t>5</w:t>
            </w:r>
          </w:p>
        </w:tc>
        <w:tc>
          <w:tcPr>
            <w:tcW w:type="dxa" w:w="2381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Роль</w:t>
            </w:r>
          </w:p>
        </w:tc>
        <w:tc>
          <w:tcPr>
            <w:tcW w:type="dxa" w:w="1587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Перечисление</w:t>
            </w:r>
          </w:p>
        </w:tc>
        <w:tc>
          <w:tcPr>
            <w:tcW w:type="dxa" w:w="2835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NOT NULL, USER / ADMIN</w:t>
            </w:r>
          </w:p>
        </w:tc>
        <w:tc>
          <w:tcPr>
            <w:tcW w:type="dxa" w:w="1587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USER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pStyle w:val="ReportTableText"/>
              <w:jc w:val="center"/>
            </w:pPr>
            <w:r>
              <w:rPr>
                <w:rFonts w:ascii="Times New Roman" w:hAnsi="Times New Roman" w:cs="Times New Roman"/>
                <w:sz w:val="21"/>
              </w:rPr>
              <w:t>6</w:t>
            </w:r>
          </w:p>
        </w:tc>
        <w:tc>
          <w:tcPr>
            <w:tcW w:type="dxa" w:w="2381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ПризнакБлокировки</w:t>
            </w:r>
          </w:p>
        </w:tc>
        <w:tc>
          <w:tcPr>
            <w:tcW w:type="dxa" w:w="1587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Логическое</w:t>
            </w:r>
          </w:p>
        </w:tc>
        <w:tc>
          <w:tcPr>
            <w:tcW w:type="dxa" w:w="2835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NOT NULL</w:t>
            </w:r>
          </w:p>
        </w:tc>
        <w:tc>
          <w:tcPr>
            <w:tcW w:type="dxa" w:w="1587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false</w:t>
            </w:r>
          </w:p>
        </w:tc>
      </w:tr>
    </w:tbl>
    <w:p>
      <w:pPr>
        <w:pStyle w:val="ReportHeading2"/>
      </w:pPr>
      <w:r>
        <w:rPr>
          <w:rFonts w:ascii="Times New Roman" w:hAnsi="Times New Roman" w:cs="Times New Roman"/>
          <w:b/>
          <w:sz w:val="28"/>
        </w:rPr>
        <w:t>4.2.  Мероприятие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072"/>
        <w:tblCellMar>
          <w:top w:w="40" w:type="dxa"/>
          <w:start w:w="80" w:type="dxa"/>
          <w:bottom w:w="40" w:type="dxa"/>
          <w:end w:w="80" w:type="dxa"/>
        </w:tblCellMar>
      </w:tblPr>
      <w:tblGrid>
        <w:gridCol w:w="680"/>
        <w:gridCol w:w="2381"/>
        <w:gridCol w:w="1587"/>
        <w:gridCol w:w="2835"/>
        <w:gridCol w:w="1587"/>
      </w:tblGrid>
      <w:tr>
        <w:trPr>
          <w:tblHeader/>
        </w:trPr>
        <w:tc>
          <w:tcPr>
            <w:tcW w:type="dxa" w:w="680"/>
            <w:vAlign w:val="center"/>
            <w:shd w:val="clear" w:color="auto" w:fill="F2F2F2"/>
          </w:tcPr>
          <w:p>
            <w:pPr>
              <w:pStyle w:val="ReportTableHeader"/>
            </w:pPr>
            <w:r>
              <w:rPr>
                <w:rFonts w:ascii="Times New Roman" w:hAnsi="Times New Roman" w:cs="Times New Roman"/>
                <w:b/>
                <w:sz w:val="21"/>
              </w:rPr>
              <w:t>№</w:t>
            </w:r>
          </w:p>
        </w:tc>
        <w:tc>
          <w:tcPr>
            <w:tcW w:type="dxa" w:w="2381"/>
            <w:vAlign w:val="center"/>
            <w:shd w:val="clear" w:color="auto" w:fill="F2F2F2"/>
          </w:tcPr>
          <w:p>
            <w:pPr>
              <w:pStyle w:val="ReportTableHeader"/>
            </w:pPr>
            <w:r>
              <w:rPr>
                <w:rFonts w:ascii="Times New Roman" w:hAnsi="Times New Roman" w:cs="Times New Roman"/>
                <w:b/>
                <w:sz w:val="21"/>
              </w:rPr>
              <w:t>Имя атрибута</w:t>
            </w:r>
          </w:p>
        </w:tc>
        <w:tc>
          <w:tcPr>
            <w:tcW w:type="dxa" w:w="1587"/>
            <w:vAlign w:val="center"/>
            <w:shd w:val="clear" w:color="auto" w:fill="F2F2F2"/>
          </w:tcPr>
          <w:p>
            <w:pPr>
              <w:pStyle w:val="ReportTableHeader"/>
            </w:pPr>
            <w:r>
              <w:rPr>
                <w:rFonts w:ascii="Times New Roman" w:hAnsi="Times New Roman" w:cs="Times New Roman"/>
                <w:b/>
                <w:sz w:val="21"/>
              </w:rPr>
              <w:t>Домен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pPr>
              <w:pStyle w:val="ReportTableHeader"/>
            </w:pPr>
            <w:r>
              <w:rPr>
                <w:rFonts w:ascii="Times New Roman" w:hAnsi="Times New Roman" w:cs="Times New Roman"/>
                <w:b/>
                <w:sz w:val="21"/>
              </w:rPr>
              <w:t>Ограничения</w:t>
            </w:r>
          </w:p>
        </w:tc>
        <w:tc>
          <w:tcPr>
            <w:tcW w:type="dxa" w:w="1587"/>
            <w:vAlign w:val="center"/>
            <w:shd w:val="clear" w:color="auto" w:fill="F2F2F2"/>
          </w:tcPr>
          <w:p>
            <w:pPr>
              <w:pStyle w:val="ReportTableHeader"/>
            </w:pPr>
            <w:r>
              <w:rPr>
                <w:rFonts w:ascii="Times New Roman" w:hAnsi="Times New Roman" w:cs="Times New Roman"/>
                <w:b/>
                <w:sz w:val="21"/>
              </w:rPr>
              <w:t>Значение по умолчанию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pStyle w:val="ReportTableText"/>
              <w:jc w:val="center"/>
            </w:pPr>
            <w:r>
              <w:rPr>
                <w:rFonts w:ascii="Times New Roman" w:hAnsi="Times New Roman" w:cs="Times New Roman"/>
                <w:sz w:val="21"/>
              </w:rPr>
              <w:t>PK</w:t>
            </w:r>
          </w:p>
        </w:tc>
        <w:tc>
          <w:tcPr>
            <w:tcW w:type="dxa" w:w="2381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КодМероприятия</w:t>
            </w:r>
          </w:p>
        </w:tc>
        <w:tc>
          <w:tcPr>
            <w:tcW w:type="dxa" w:w="1587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Целое</w:t>
            </w:r>
          </w:p>
        </w:tc>
        <w:tc>
          <w:tcPr>
            <w:tcW w:type="dxa" w:w="2835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PRIMARY KEY, UNIQUE, NOT NULL, &gt; 0</w:t>
            </w:r>
          </w:p>
        </w:tc>
        <w:tc>
          <w:tcPr>
            <w:tcW w:type="dxa" w:w="1587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Автоинкремент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pStyle w:val="ReportTableText"/>
              <w:jc w:val="center"/>
            </w:pPr>
            <w:r>
              <w:rPr>
                <w:rFonts w:ascii="Times New Roman" w:hAnsi="Times New Roman" w:cs="Times New Roman"/>
                <w:sz w:val="21"/>
              </w:rPr>
              <w:t>1</w:t>
            </w:r>
          </w:p>
        </w:tc>
        <w:tc>
          <w:tcPr>
            <w:tcW w:type="dxa" w:w="2381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КодОрганизатора</w:t>
            </w:r>
          </w:p>
        </w:tc>
        <w:tc>
          <w:tcPr>
            <w:tcW w:type="dxa" w:w="1587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Целое</w:t>
            </w:r>
          </w:p>
        </w:tc>
        <w:tc>
          <w:tcPr>
            <w:tcW w:type="dxa" w:w="2835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FK → Организатор, NOT NULL; существующий код</w:t>
            </w:r>
          </w:p>
        </w:tc>
        <w:tc>
          <w:tcPr>
            <w:tcW w:type="dxa" w:w="1587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Не задано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pStyle w:val="ReportTableText"/>
              <w:jc w:val="center"/>
            </w:pPr>
            <w:r>
              <w:rPr>
                <w:rFonts w:ascii="Times New Roman" w:hAnsi="Times New Roman" w:cs="Times New Roman"/>
                <w:sz w:val="21"/>
              </w:rPr>
              <w:t>2</w:t>
            </w:r>
          </w:p>
        </w:tc>
        <w:tc>
          <w:tcPr>
            <w:tcW w:type="dxa" w:w="2381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КодМеста</w:t>
            </w:r>
          </w:p>
        </w:tc>
        <w:tc>
          <w:tcPr>
            <w:tcW w:type="dxa" w:w="1587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Целое</w:t>
            </w:r>
          </w:p>
        </w:tc>
        <w:tc>
          <w:tcPr>
            <w:tcW w:type="dxa" w:w="2835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FK → Место проведения, NOT NULL; существующий код</w:t>
            </w:r>
          </w:p>
        </w:tc>
        <w:tc>
          <w:tcPr>
            <w:tcW w:type="dxa" w:w="1587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Не задано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pStyle w:val="ReportTableText"/>
              <w:jc w:val="center"/>
            </w:pPr>
            <w:r>
              <w:rPr>
                <w:rFonts w:ascii="Times New Roman" w:hAnsi="Times New Roman" w:cs="Times New Roman"/>
                <w:sz w:val="21"/>
              </w:rPr>
              <w:t>3</w:t>
            </w:r>
          </w:p>
        </w:tc>
        <w:tc>
          <w:tcPr>
            <w:tcW w:type="dxa" w:w="2381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КодТега</w:t>
            </w:r>
          </w:p>
        </w:tc>
        <w:tc>
          <w:tcPr>
            <w:tcW w:type="dxa" w:w="1587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Целое</w:t>
            </w:r>
          </w:p>
        </w:tc>
        <w:tc>
          <w:tcPr>
            <w:tcW w:type="dxa" w:w="2835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FK → Тег, NOT NULL; существующий код</w:t>
            </w:r>
          </w:p>
        </w:tc>
        <w:tc>
          <w:tcPr>
            <w:tcW w:type="dxa" w:w="1587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Не задано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pStyle w:val="ReportTableText"/>
              <w:jc w:val="center"/>
            </w:pPr>
            <w:r>
              <w:rPr>
                <w:rFonts w:ascii="Times New Roman" w:hAnsi="Times New Roman" w:cs="Times New Roman"/>
                <w:sz w:val="21"/>
              </w:rPr>
              <w:t>4</w:t>
            </w:r>
          </w:p>
        </w:tc>
        <w:tc>
          <w:tcPr>
            <w:tcW w:type="dxa" w:w="2381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КодАвтора</w:t>
            </w:r>
          </w:p>
        </w:tc>
        <w:tc>
          <w:tcPr>
            <w:tcW w:type="dxa" w:w="1587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Целое</w:t>
            </w:r>
          </w:p>
        </w:tc>
        <w:tc>
          <w:tcPr>
            <w:tcW w:type="dxa" w:w="2835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FK → Пользователь, NULL допускается</w:t>
            </w:r>
          </w:p>
        </w:tc>
        <w:tc>
          <w:tcPr>
            <w:tcW w:type="dxa" w:w="1587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NULL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pStyle w:val="ReportTableText"/>
              <w:jc w:val="center"/>
            </w:pPr>
            <w:r>
              <w:rPr>
                <w:rFonts w:ascii="Times New Roman" w:hAnsi="Times New Roman" w:cs="Times New Roman"/>
                <w:sz w:val="21"/>
              </w:rPr>
              <w:t>5</w:t>
            </w:r>
          </w:p>
        </w:tc>
        <w:tc>
          <w:tcPr>
            <w:tcW w:type="dxa" w:w="2381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Название</w:t>
            </w:r>
          </w:p>
        </w:tc>
        <w:tc>
          <w:tcPr>
            <w:tcW w:type="dxa" w:w="1587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Строка(200)</w:t>
            </w:r>
          </w:p>
        </w:tc>
        <w:tc>
          <w:tcPr>
            <w:tcW w:type="dxa" w:w="2835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NOT NULL, непустая строка</w:t>
            </w:r>
          </w:p>
        </w:tc>
        <w:tc>
          <w:tcPr>
            <w:tcW w:type="dxa" w:w="1587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Не задано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pStyle w:val="ReportTableText"/>
              <w:jc w:val="center"/>
            </w:pPr>
            <w:r>
              <w:rPr>
                <w:rFonts w:ascii="Times New Roman" w:hAnsi="Times New Roman" w:cs="Times New Roman"/>
                <w:sz w:val="21"/>
              </w:rPr>
              <w:t>6</w:t>
            </w:r>
          </w:p>
        </w:tc>
        <w:tc>
          <w:tcPr>
            <w:tcW w:type="dxa" w:w="2381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Дата</w:t>
            </w:r>
          </w:p>
        </w:tc>
        <w:tc>
          <w:tcPr>
            <w:tcW w:type="dxa" w:w="1587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Дата</w:t>
            </w:r>
          </w:p>
        </w:tc>
        <w:tc>
          <w:tcPr>
            <w:tcW w:type="dxa" w:w="2835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NOT NULL, не ранее текущей даты при создании</w:t>
            </w:r>
          </w:p>
        </w:tc>
        <w:tc>
          <w:tcPr>
            <w:tcW w:type="dxa" w:w="1587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Не задано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pStyle w:val="ReportTableText"/>
              <w:jc w:val="center"/>
            </w:pPr>
            <w:r>
              <w:rPr>
                <w:rFonts w:ascii="Times New Roman" w:hAnsi="Times New Roman" w:cs="Times New Roman"/>
                <w:sz w:val="21"/>
              </w:rPr>
              <w:t>7</w:t>
            </w:r>
          </w:p>
        </w:tc>
        <w:tc>
          <w:tcPr>
            <w:tcW w:type="dxa" w:w="2381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Время</w:t>
            </w:r>
          </w:p>
        </w:tc>
        <w:tc>
          <w:tcPr>
            <w:tcW w:type="dxa" w:w="1587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Время</w:t>
            </w:r>
          </w:p>
        </w:tc>
        <w:tc>
          <w:tcPr>
            <w:tcW w:type="dxa" w:w="2835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NOT NULL, формат ЧЧ:ММ</w:t>
            </w:r>
          </w:p>
        </w:tc>
        <w:tc>
          <w:tcPr>
            <w:tcW w:type="dxa" w:w="1587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Не задано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pStyle w:val="ReportTableText"/>
              <w:jc w:val="center"/>
            </w:pPr>
            <w:r>
              <w:rPr>
                <w:rFonts w:ascii="Times New Roman" w:hAnsi="Times New Roman" w:cs="Times New Roman"/>
                <w:sz w:val="21"/>
              </w:rPr>
              <w:t>8</w:t>
            </w:r>
          </w:p>
        </w:tc>
        <w:tc>
          <w:tcPr>
            <w:tcW w:type="dxa" w:w="2381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Описание</w:t>
            </w:r>
          </w:p>
        </w:tc>
        <w:tc>
          <w:tcPr>
            <w:tcW w:type="dxa" w:w="1587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Текст</w:t>
            </w:r>
          </w:p>
        </w:tc>
        <w:tc>
          <w:tcPr>
            <w:tcW w:type="dxa" w:w="2835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NOT NULL, непустой текст</w:t>
            </w:r>
          </w:p>
        </w:tc>
        <w:tc>
          <w:tcPr>
            <w:tcW w:type="dxa" w:w="1587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Не задано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pStyle w:val="ReportTableText"/>
              <w:jc w:val="center"/>
            </w:pPr>
            <w:r>
              <w:rPr>
                <w:rFonts w:ascii="Times New Roman" w:hAnsi="Times New Roman" w:cs="Times New Roman"/>
                <w:sz w:val="21"/>
              </w:rPr>
              <w:t>9</w:t>
            </w:r>
          </w:p>
        </w:tc>
        <w:tc>
          <w:tcPr>
            <w:tcW w:type="dxa" w:w="2381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Категория</w:t>
            </w:r>
          </w:p>
        </w:tc>
        <w:tc>
          <w:tcPr>
            <w:tcW w:type="dxa" w:w="1587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Строка(100)</w:t>
            </w:r>
          </w:p>
        </w:tc>
        <w:tc>
          <w:tcPr>
            <w:tcW w:type="dxa" w:w="2835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NOT NULL, непустая строка</w:t>
            </w:r>
          </w:p>
        </w:tc>
        <w:tc>
          <w:tcPr>
            <w:tcW w:type="dxa" w:w="1587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Не задано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pStyle w:val="ReportTableText"/>
              <w:jc w:val="center"/>
            </w:pPr>
            <w:r>
              <w:rPr>
                <w:rFonts w:ascii="Times New Roman" w:hAnsi="Times New Roman" w:cs="Times New Roman"/>
                <w:sz w:val="21"/>
              </w:rPr>
              <w:t>10</w:t>
            </w:r>
          </w:p>
        </w:tc>
        <w:tc>
          <w:tcPr>
            <w:tcW w:type="dxa" w:w="2381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Цена</w:t>
            </w:r>
          </w:p>
        </w:tc>
        <w:tc>
          <w:tcPr>
            <w:tcW w:type="dxa" w:w="1587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Целое (р.)</w:t>
            </w:r>
          </w:p>
        </w:tc>
        <w:tc>
          <w:tcPr>
            <w:tcW w:type="dxa" w:w="2835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NOT NULL, &gt;= 0</w:t>
            </w:r>
          </w:p>
        </w:tc>
        <w:tc>
          <w:tcPr>
            <w:tcW w:type="dxa" w:w="1587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pStyle w:val="ReportTableText"/>
              <w:jc w:val="center"/>
            </w:pPr>
            <w:r>
              <w:rPr>
                <w:rFonts w:ascii="Times New Roman" w:hAnsi="Times New Roman" w:cs="Times New Roman"/>
                <w:sz w:val="21"/>
              </w:rPr>
              <w:t>11</w:t>
            </w:r>
          </w:p>
        </w:tc>
        <w:tc>
          <w:tcPr>
            <w:tcW w:type="dxa" w:w="2381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Статус</w:t>
            </w:r>
          </w:p>
        </w:tc>
        <w:tc>
          <w:tcPr>
            <w:tcW w:type="dxa" w:w="1587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Перечисление</w:t>
            </w:r>
          </w:p>
        </w:tc>
        <w:tc>
          <w:tcPr>
            <w:tcW w:type="dxa" w:w="2835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NOT NULL, PENDING / APPROVED / REJECTED</w:t>
            </w:r>
          </w:p>
        </w:tc>
        <w:tc>
          <w:tcPr>
            <w:tcW w:type="dxa" w:w="1587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APPROVED</w:t>
            </w:r>
          </w:p>
        </w:tc>
      </w:tr>
    </w:tbl>
    <w:p>
      <w:pPr>
        <w:pStyle w:val="ReportHeading2"/>
      </w:pPr>
      <w:r>
        <w:rPr>
          <w:rFonts w:ascii="Times New Roman" w:hAnsi="Times New Roman" w:cs="Times New Roman"/>
          <w:b/>
          <w:sz w:val="28"/>
        </w:rPr>
        <w:t>4.3.  Билет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072"/>
        <w:tblCellMar>
          <w:top w:w="40" w:type="dxa"/>
          <w:start w:w="80" w:type="dxa"/>
          <w:bottom w:w="40" w:type="dxa"/>
          <w:end w:w="80" w:type="dxa"/>
        </w:tblCellMar>
      </w:tblPr>
      <w:tblGrid>
        <w:gridCol w:w="680"/>
        <w:gridCol w:w="2381"/>
        <w:gridCol w:w="1587"/>
        <w:gridCol w:w="2835"/>
        <w:gridCol w:w="1587"/>
      </w:tblGrid>
      <w:tr>
        <w:trPr>
          <w:tblHeader/>
        </w:trPr>
        <w:tc>
          <w:tcPr>
            <w:tcW w:type="dxa" w:w="680"/>
            <w:vAlign w:val="center"/>
            <w:shd w:val="clear" w:color="auto" w:fill="F2F2F2"/>
          </w:tcPr>
          <w:p>
            <w:pPr>
              <w:pStyle w:val="ReportTableHeader"/>
            </w:pPr>
            <w:r>
              <w:rPr>
                <w:rFonts w:ascii="Times New Roman" w:hAnsi="Times New Roman" w:cs="Times New Roman"/>
                <w:b/>
                <w:sz w:val="21"/>
              </w:rPr>
              <w:t>№</w:t>
            </w:r>
          </w:p>
        </w:tc>
        <w:tc>
          <w:tcPr>
            <w:tcW w:type="dxa" w:w="2381"/>
            <w:vAlign w:val="center"/>
            <w:shd w:val="clear" w:color="auto" w:fill="F2F2F2"/>
          </w:tcPr>
          <w:p>
            <w:pPr>
              <w:pStyle w:val="ReportTableHeader"/>
            </w:pPr>
            <w:r>
              <w:rPr>
                <w:rFonts w:ascii="Times New Roman" w:hAnsi="Times New Roman" w:cs="Times New Roman"/>
                <w:b/>
                <w:sz w:val="21"/>
              </w:rPr>
              <w:t>Имя атрибута</w:t>
            </w:r>
          </w:p>
        </w:tc>
        <w:tc>
          <w:tcPr>
            <w:tcW w:type="dxa" w:w="1587"/>
            <w:vAlign w:val="center"/>
            <w:shd w:val="clear" w:color="auto" w:fill="F2F2F2"/>
          </w:tcPr>
          <w:p>
            <w:pPr>
              <w:pStyle w:val="ReportTableHeader"/>
            </w:pPr>
            <w:r>
              <w:rPr>
                <w:rFonts w:ascii="Times New Roman" w:hAnsi="Times New Roman" w:cs="Times New Roman"/>
                <w:b/>
                <w:sz w:val="21"/>
              </w:rPr>
              <w:t>Домен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pPr>
              <w:pStyle w:val="ReportTableHeader"/>
            </w:pPr>
            <w:r>
              <w:rPr>
                <w:rFonts w:ascii="Times New Roman" w:hAnsi="Times New Roman" w:cs="Times New Roman"/>
                <w:b/>
                <w:sz w:val="21"/>
              </w:rPr>
              <w:t>Ограничения</w:t>
            </w:r>
          </w:p>
        </w:tc>
        <w:tc>
          <w:tcPr>
            <w:tcW w:type="dxa" w:w="1587"/>
            <w:vAlign w:val="center"/>
            <w:shd w:val="clear" w:color="auto" w:fill="F2F2F2"/>
          </w:tcPr>
          <w:p>
            <w:pPr>
              <w:pStyle w:val="ReportTableHeader"/>
            </w:pPr>
            <w:r>
              <w:rPr>
                <w:rFonts w:ascii="Times New Roman" w:hAnsi="Times New Roman" w:cs="Times New Roman"/>
                <w:b/>
                <w:sz w:val="21"/>
              </w:rPr>
              <w:t>Значение по умолчанию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pStyle w:val="ReportTableText"/>
              <w:jc w:val="center"/>
            </w:pPr>
            <w:r>
              <w:rPr>
                <w:rFonts w:ascii="Times New Roman" w:hAnsi="Times New Roman" w:cs="Times New Roman"/>
                <w:sz w:val="21"/>
              </w:rPr>
              <w:t>PK</w:t>
            </w:r>
          </w:p>
        </w:tc>
        <w:tc>
          <w:tcPr>
            <w:tcW w:type="dxa" w:w="2381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КодБилета</w:t>
            </w:r>
          </w:p>
        </w:tc>
        <w:tc>
          <w:tcPr>
            <w:tcW w:type="dxa" w:w="1587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Целое</w:t>
            </w:r>
          </w:p>
        </w:tc>
        <w:tc>
          <w:tcPr>
            <w:tcW w:type="dxa" w:w="2835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PRIMARY KEY, UNIQUE, NOT NULL, &gt; 0</w:t>
            </w:r>
          </w:p>
        </w:tc>
        <w:tc>
          <w:tcPr>
            <w:tcW w:type="dxa" w:w="1587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Автоинкремент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pStyle w:val="ReportTableText"/>
              <w:jc w:val="center"/>
            </w:pPr>
            <w:r>
              <w:rPr>
                <w:rFonts w:ascii="Times New Roman" w:hAnsi="Times New Roman" w:cs="Times New Roman"/>
                <w:sz w:val="21"/>
              </w:rPr>
              <w:t>1</w:t>
            </w:r>
          </w:p>
        </w:tc>
        <w:tc>
          <w:tcPr>
            <w:tcW w:type="dxa" w:w="2381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КодПользователя</w:t>
            </w:r>
          </w:p>
        </w:tc>
        <w:tc>
          <w:tcPr>
            <w:tcW w:type="dxa" w:w="1587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Целое</w:t>
            </w:r>
          </w:p>
        </w:tc>
        <w:tc>
          <w:tcPr>
            <w:tcW w:type="dxa" w:w="2835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FK → Пользователь, NOT NULL; существующий код</w:t>
            </w:r>
          </w:p>
        </w:tc>
        <w:tc>
          <w:tcPr>
            <w:tcW w:type="dxa" w:w="1587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Не задано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pStyle w:val="ReportTableText"/>
              <w:jc w:val="center"/>
            </w:pPr>
            <w:r>
              <w:rPr>
                <w:rFonts w:ascii="Times New Roman" w:hAnsi="Times New Roman" w:cs="Times New Roman"/>
                <w:sz w:val="21"/>
              </w:rPr>
              <w:t>2</w:t>
            </w:r>
          </w:p>
        </w:tc>
        <w:tc>
          <w:tcPr>
            <w:tcW w:type="dxa" w:w="2381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КодМероприятия</w:t>
            </w:r>
          </w:p>
        </w:tc>
        <w:tc>
          <w:tcPr>
            <w:tcW w:type="dxa" w:w="1587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Целое</w:t>
            </w:r>
          </w:p>
        </w:tc>
        <w:tc>
          <w:tcPr>
            <w:tcW w:type="dxa" w:w="2835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FK → Мероприятие, NOT NULL; существующий код</w:t>
            </w:r>
          </w:p>
        </w:tc>
        <w:tc>
          <w:tcPr>
            <w:tcW w:type="dxa" w:w="1587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Не задано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pStyle w:val="ReportTableText"/>
              <w:jc w:val="center"/>
            </w:pPr>
            <w:r>
              <w:rPr>
                <w:rFonts w:ascii="Times New Roman" w:hAnsi="Times New Roman" w:cs="Times New Roman"/>
                <w:sz w:val="21"/>
              </w:rPr>
              <w:t>3</w:t>
            </w:r>
          </w:p>
        </w:tc>
        <w:tc>
          <w:tcPr>
            <w:tcW w:type="dxa" w:w="2381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КодПромокода</w:t>
            </w:r>
          </w:p>
        </w:tc>
        <w:tc>
          <w:tcPr>
            <w:tcW w:type="dxa" w:w="1587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Целое</w:t>
            </w:r>
          </w:p>
        </w:tc>
        <w:tc>
          <w:tcPr>
            <w:tcW w:type="dxa" w:w="2835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FK → Промокод, NULL допускается</w:t>
            </w:r>
          </w:p>
        </w:tc>
        <w:tc>
          <w:tcPr>
            <w:tcW w:type="dxa" w:w="1587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NULL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pStyle w:val="ReportTableText"/>
              <w:jc w:val="center"/>
            </w:pPr>
            <w:r>
              <w:rPr>
                <w:rFonts w:ascii="Times New Roman" w:hAnsi="Times New Roman" w:cs="Times New Roman"/>
                <w:sz w:val="21"/>
              </w:rPr>
              <w:t>4</w:t>
            </w:r>
          </w:p>
        </w:tc>
        <w:tc>
          <w:tcPr>
            <w:tcW w:type="dxa" w:w="2381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НомерМеста</w:t>
            </w:r>
          </w:p>
        </w:tc>
        <w:tc>
          <w:tcPr>
            <w:tcW w:type="dxa" w:w="1587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Целое</w:t>
            </w:r>
          </w:p>
        </w:tc>
        <w:tc>
          <w:tcPr>
            <w:tcW w:type="dxa" w:w="2835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NOT NULL, &gt;= 1</w:t>
            </w:r>
          </w:p>
        </w:tc>
        <w:tc>
          <w:tcPr>
            <w:tcW w:type="dxa" w:w="1587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Не задано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pStyle w:val="ReportTableText"/>
              <w:jc w:val="center"/>
            </w:pPr>
            <w:r>
              <w:rPr>
                <w:rFonts w:ascii="Times New Roman" w:hAnsi="Times New Roman" w:cs="Times New Roman"/>
                <w:sz w:val="21"/>
              </w:rPr>
              <w:t>5</w:t>
            </w:r>
          </w:p>
        </w:tc>
        <w:tc>
          <w:tcPr>
            <w:tcW w:type="dxa" w:w="2381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Цена</w:t>
            </w:r>
          </w:p>
        </w:tc>
        <w:tc>
          <w:tcPr>
            <w:tcW w:type="dxa" w:w="1587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Целое (р.)</w:t>
            </w:r>
          </w:p>
        </w:tc>
        <w:tc>
          <w:tcPr>
            <w:tcW w:type="dxa" w:w="2835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NOT NULL, &gt;= 0</w:t>
            </w:r>
          </w:p>
        </w:tc>
        <w:tc>
          <w:tcPr>
            <w:tcW w:type="dxa" w:w="1587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pStyle w:val="ReportTableText"/>
              <w:jc w:val="center"/>
            </w:pPr>
            <w:r>
              <w:rPr>
                <w:rFonts w:ascii="Times New Roman" w:hAnsi="Times New Roman" w:cs="Times New Roman"/>
                <w:sz w:val="21"/>
              </w:rPr>
              <w:t>6</w:t>
            </w:r>
          </w:p>
        </w:tc>
        <w:tc>
          <w:tcPr>
            <w:tcW w:type="dxa" w:w="2381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Статус</w:t>
            </w:r>
          </w:p>
        </w:tc>
        <w:tc>
          <w:tcPr>
            <w:tcW w:type="dxa" w:w="1587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Перечисление</w:t>
            </w:r>
          </w:p>
        </w:tc>
        <w:tc>
          <w:tcPr>
            <w:tcW w:type="dxa" w:w="2835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NOT NULL, ACTIVE / USED / CANCELLED</w:t>
            </w:r>
          </w:p>
        </w:tc>
        <w:tc>
          <w:tcPr>
            <w:tcW w:type="dxa" w:w="1587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ACTIVE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pStyle w:val="ReportTableText"/>
              <w:jc w:val="center"/>
            </w:pPr>
            <w:r>
              <w:rPr>
                <w:rFonts w:ascii="Times New Roman" w:hAnsi="Times New Roman" w:cs="Times New Roman"/>
                <w:sz w:val="21"/>
              </w:rPr>
              <w:t>7</w:t>
            </w:r>
          </w:p>
        </w:tc>
        <w:tc>
          <w:tcPr>
            <w:tcW w:type="dxa" w:w="2381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QR-код</w:t>
            </w:r>
          </w:p>
        </w:tc>
        <w:tc>
          <w:tcPr>
            <w:tcW w:type="dxa" w:w="1587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Строка(36)</w:t>
            </w:r>
          </w:p>
        </w:tc>
        <w:tc>
          <w:tcPr>
            <w:tcW w:type="dxa" w:w="2835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NOT NULL, UNIQUE, UUID</w:t>
            </w:r>
          </w:p>
        </w:tc>
        <w:tc>
          <w:tcPr>
            <w:tcW w:type="dxa" w:w="1587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Генерируется приложением</w:t>
            </w:r>
          </w:p>
        </w:tc>
      </w:tr>
    </w:tbl>
    <w:p>
      <w:pPr>
        <w:pStyle w:val="ReportHeading2"/>
      </w:pPr>
      <w:r>
        <w:rPr>
          <w:rFonts w:ascii="Times New Roman" w:hAnsi="Times New Roman" w:cs="Times New Roman"/>
          <w:b/>
          <w:sz w:val="28"/>
        </w:rPr>
        <w:t>4.4.  Отзыв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072"/>
        <w:tblCellMar>
          <w:top w:w="40" w:type="dxa"/>
          <w:start w:w="80" w:type="dxa"/>
          <w:bottom w:w="40" w:type="dxa"/>
          <w:end w:w="80" w:type="dxa"/>
        </w:tblCellMar>
      </w:tblPr>
      <w:tblGrid>
        <w:gridCol w:w="680"/>
        <w:gridCol w:w="2381"/>
        <w:gridCol w:w="1587"/>
        <w:gridCol w:w="2835"/>
        <w:gridCol w:w="1587"/>
      </w:tblGrid>
      <w:tr>
        <w:trPr>
          <w:tblHeader/>
        </w:trPr>
        <w:tc>
          <w:tcPr>
            <w:tcW w:type="dxa" w:w="680"/>
            <w:vAlign w:val="center"/>
            <w:shd w:val="clear" w:color="auto" w:fill="F2F2F2"/>
          </w:tcPr>
          <w:p>
            <w:pPr>
              <w:pStyle w:val="ReportTableHeader"/>
            </w:pPr>
            <w:r>
              <w:rPr>
                <w:rFonts w:ascii="Times New Roman" w:hAnsi="Times New Roman" w:cs="Times New Roman"/>
                <w:b/>
                <w:sz w:val="21"/>
              </w:rPr>
              <w:t>№</w:t>
            </w:r>
          </w:p>
        </w:tc>
        <w:tc>
          <w:tcPr>
            <w:tcW w:type="dxa" w:w="2381"/>
            <w:vAlign w:val="center"/>
            <w:shd w:val="clear" w:color="auto" w:fill="F2F2F2"/>
          </w:tcPr>
          <w:p>
            <w:pPr>
              <w:pStyle w:val="ReportTableHeader"/>
            </w:pPr>
            <w:r>
              <w:rPr>
                <w:rFonts w:ascii="Times New Roman" w:hAnsi="Times New Roman" w:cs="Times New Roman"/>
                <w:b/>
                <w:sz w:val="21"/>
              </w:rPr>
              <w:t>Имя атрибута</w:t>
            </w:r>
          </w:p>
        </w:tc>
        <w:tc>
          <w:tcPr>
            <w:tcW w:type="dxa" w:w="1587"/>
            <w:vAlign w:val="center"/>
            <w:shd w:val="clear" w:color="auto" w:fill="F2F2F2"/>
          </w:tcPr>
          <w:p>
            <w:pPr>
              <w:pStyle w:val="ReportTableHeader"/>
            </w:pPr>
            <w:r>
              <w:rPr>
                <w:rFonts w:ascii="Times New Roman" w:hAnsi="Times New Roman" w:cs="Times New Roman"/>
                <w:b/>
                <w:sz w:val="21"/>
              </w:rPr>
              <w:t>Домен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pPr>
              <w:pStyle w:val="ReportTableHeader"/>
            </w:pPr>
            <w:r>
              <w:rPr>
                <w:rFonts w:ascii="Times New Roman" w:hAnsi="Times New Roman" w:cs="Times New Roman"/>
                <w:b/>
                <w:sz w:val="21"/>
              </w:rPr>
              <w:t>Ограничения</w:t>
            </w:r>
          </w:p>
        </w:tc>
        <w:tc>
          <w:tcPr>
            <w:tcW w:type="dxa" w:w="1587"/>
            <w:vAlign w:val="center"/>
            <w:shd w:val="clear" w:color="auto" w:fill="F2F2F2"/>
          </w:tcPr>
          <w:p>
            <w:pPr>
              <w:pStyle w:val="ReportTableHeader"/>
            </w:pPr>
            <w:r>
              <w:rPr>
                <w:rFonts w:ascii="Times New Roman" w:hAnsi="Times New Roman" w:cs="Times New Roman"/>
                <w:b/>
                <w:sz w:val="21"/>
              </w:rPr>
              <w:t>Значение по умолчанию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pStyle w:val="ReportTableText"/>
              <w:jc w:val="center"/>
            </w:pPr>
            <w:r>
              <w:rPr>
                <w:rFonts w:ascii="Times New Roman" w:hAnsi="Times New Roman" w:cs="Times New Roman"/>
                <w:sz w:val="21"/>
              </w:rPr>
              <w:t>PK</w:t>
            </w:r>
          </w:p>
        </w:tc>
        <w:tc>
          <w:tcPr>
            <w:tcW w:type="dxa" w:w="2381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КодОтзыва</w:t>
            </w:r>
          </w:p>
        </w:tc>
        <w:tc>
          <w:tcPr>
            <w:tcW w:type="dxa" w:w="1587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Целое</w:t>
            </w:r>
          </w:p>
        </w:tc>
        <w:tc>
          <w:tcPr>
            <w:tcW w:type="dxa" w:w="2835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PRIMARY KEY, UNIQUE, NOT NULL, &gt; 0</w:t>
            </w:r>
          </w:p>
        </w:tc>
        <w:tc>
          <w:tcPr>
            <w:tcW w:type="dxa" w:w="1587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Автоинкремент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pStyle w:val="ReportTableText"/>
              <w:jc w:val="center"/>
            </w:pPr>
            <w:r>
              <w:rPr>
                <w:rFonts w:ascii="Times New Roman" w:hAnsi="Times New Roman" w:cs="Times New Roman"/>
                <w:sz w:val="21"/>
              </w:rPr>
              <w:t>1</w:t>
            </w:r>
          </w:p>
        </w:tc>
        <w:tc>
          <w:tcPr>
            <w:tcW w:type="dxa" w:w="2381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КодПользователя</w:t>
            </w:r>
          </w:p>
        </w:tc>
        <w:tc>
          <w:tcPr>
            <w:tcW w:type="dxa" w:w="1587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Целое</w:t>
            </w:r>
          </w:p>
        </w:tc>
        <w:tc>
          <w:tcPr>
            <w:tcW w:type="dxa" w:w="2835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FK → Пользователь, NOT NULL; существующий код</w:t>
            </w:r>
          </w:p>
        </w:tc>
        <w:tc>
          <w:tcPr>
            <w:tcW w:type="dxa" w:w="1587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Не задано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pStyle w:val="ReportTableText"/>
              <w:jc w:val="center"/>
            </w:pPr>
            <w:r>
              <w:rPr>
                <w:rFonts w:ascii="Times New Roman" w:hAnsi="Times New Roman" w:cs="Times New Roman"/>
                <w:sz w:val="21"/>
              </w:rPr>
              <w:t>2</w:t>
            </w:r>
          </w:p>
        </w:tc>
        <w:tc>
          <w:tcPr>
            <w:tcW w:type="dxa" w:w="2381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КодМероприятия</w:t>
            </w:r>
          </w:p>
        </w:tc>
        <w:tc>
          <w:tcPr>
            <w:tcW w:type="dxa" w:w="1587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Целое</w:t>
            </w:r>
          </w:p>
        </w:tc>
        <w:tc>
          <w:tcPr>
            <w:tcW w:type="dxa" w:w="2835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FK → Мероприятие, NOT NULL; существующий код</w:t>
            </w:r>
          </w:p>
        </w:tc>
        <w:tc>
          <w:tcPr>
            <w:tcW w:type="dxa" w:w="1587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Не задано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pStyle w:val="ReportTableText"/>
              <w:jc w:val="center"/>
            </w:pPr>
            <w:r>
              <w:rPr>
                <w:rFonts w:ascii="Times New Roman" w:hAnsi="Times New Roman" w:cs="Times New Roman"/>
                <w:sz w:val="21"/>
              </w:rPr>
              <w:t>3</w:t>
            </w:r>
          </w:p>
        </w:tc>
        <w:tc>
          <w:tcPr>
            <w:tcW w:type="dxa" w:w="2381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Оценка</w:t>
            </w:r>
          </w:p>
        </w:tc>
        <w:tc>
          <w:tcPr>
            <w:tcW w:type="dxa" w:w="1587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Целое</w:t>
            </w:r>
          </w:p>
        </w:tc>
        <w:tc>
          <w:tcPr>
            <w:tcW w:type="dxa" w:w="2835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NOT NULL, от 1 до 5</w:t>
            </w:r>
          </w:p>
        </w:tc>
        <w:tc>
          <w:tcPr>
            <w:tcW w:type="dxa" w:w="1587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Не задано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pStyle w:val="ReportTableText"/>
              <w:jc w:val="center"/>
            </w:pPr>
            <w:r>
              <w:rPr>
                <w:rFonts w:ascii="Times New Roman" w:hAnsi="Times New Roman" w:cs="Times New Roman"/>
                <w:sz w:val="21"/>
              </w:rPr>
              <w:t>4</w:t>
            </w:r>
          </w:p>
        </w:tc>
        <w:tc>
          <w:tcPr>
            <w:tcW w:type="dxa" w:w="2381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Текст</w:t>
            </w:r>
          </w:p>
        </w:tc>
        <w:tc>
          <w:tcPr>
            <w:tcW w:type="dxa" w:w="1587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Текст</w:t>
            </w:r>
          </w:p>
        </w:tc>
        <w:tc>
          <w:tcPr>
            <w:tcW w:type="dxa" w:w="2835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NOT NULL, непустой текст</w:t>
            </w:r>
          </w:p>
        </w:tc>
        <w:tc>
          <w:tcPr>
            <w:tcW w:type="dxa" w:w="1587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Не задано</w:t>
            </w:r>
          </w:p>
        </w:tc>
      </w:tr>
    </w:tbl>
    <w:p>
      <w:pPr/>
      <w:r>
        <w:rPr>
          <w:rFonts w:ascii="Times New Roman" w:hAnsi="Times New Roman" w:cs="Times New Roman"/>
          <w:sz w:val="28"/>
        </w:rPr>
        <w:t>Дополнительные ограничения: для отзыва действует UNIQUE (КодПользователя, КодМероприятия), для билета — UNIQUE (КодМероприятия, НомерМеста). Удаление справочника с мероприятиями запрещено; удаление мероприятия каскадно удаляет билеты и отзывы; удаление пользователя сохраняет мероприятия с пустым автором. Промокод одноразовый, цена и скидка неотрицательны.</w:t>
      </w:r>
    </w:p>
    <w:p>
      <w:pPr>
        <w:pStyle w:val="ReportHeading1"/>
      </w:pPr>
      <w:r>
        <w:rPr>
          <w:rFonts w:ascii="Times New Roman" w:hAnsi="Times New Roman" w:cs="Times New Roman"/>
          <w:b/>
          <w:sz w:val="28"/>
        </w:rPr>
        <w:t>5.  Отношения между сущностями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072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494"/>
        <w:gridCol w:w="1247"/>
        <w:gridCol w:w="5329"/>
      </w:tblGrid>
      <w:tr>
        <w:trPr>
          <w:tblHeader/>
        </w:trPr>
        <w:tc>
          <w:tcPr>
            <w:tcW w:type="dxa" w:w="2494"/>
            <w:vAlign w:val="center"/>
            <w:shd w:val="clear" w:color="auto" w:fill="F2F2F2"/>
          </w:tcPr>
          <w:p>
            <w:pPr>
              <w:pStyle w:val="ReportTableHeader"/>
            </w:pPr>
            <w:r>
              <w:rPr>
                <w:rFonts w:ascii="Times New Roman" w:hAnsi="Times New Roman" w:cs="Times New Roman"/>
                <w:b/>
                <w:sz w:val="21"/>
              </w:rPr>
              <w:t>Связь</w:t>
            </w:r>
          </w:p>
        </w:tc>
        <w:tc>
          <w:tcPr>
            <w:tcW w:type="dxa" w:w="1247"/>
            <w:vAlign w:val="center"/>
            <w:shd w:val="clear" w:color="auto" w:fill="F2F2F2"/>
          </w:tcPr>
          <w:p>
            <w:pPr>
              <w:pStyle w:val="ReportTableHeader"/>
            </w:pPr>
            <w:r>
              <w:rPr>
                <w:rFonts w:ascii="Times New Roman" w:hAnsi="Times New Roman" w:cs="Times New Roman"/>
                <w:b/>
                <w:sz w:val="21"/>
              </w:rPr>
              <w:t>Тип</w:t>
            </w:r>
          </w:p>
        </w:tc>
        <w:tc>
          <w:tcPr>
            <w:tcW w:type="dxa" w:w="5329"/>
            <w:vAlign w:val="center"/>
            <w:shd w:val="clear" w:color="auto" w:fill="F2F2F2"/>
          </w:tcPr>
          <w:p>
            <w:pPr>
              <w:pStyle w:val="ReportTableHeader"/>
            </w:pPr>
            <w:r>
              <w:rPr>
                <w:rFonts w:ascii="Times New Roman" w:hAnsi="Times New Roman" w:cs="Times New Roman"/>
                <w:b/>
                <w:sz w:val="21"/>
              </w:rPr>
              <w:t>Описание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pStyle w:val="ReportTableText"/>
              <w:jc w:val="center"/>
            </w:pPr>
            <w:r>
              <w:rPr>
                <w:rFonts w:ascii="Times New Roman" w:hAnsi="Times New Roman" w:cs="Times New Roman"/>
                <w:sz w:val="21"/>
              </w:rPr>
              <w:t>Пользователь – Билет</w:t>
            </w:r>
          </w:p>
        </w:tc>
        <w:tc>
          <w:tcPr>
            <w:tcW w:type="dxa" w:w="1247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1:M</w:t>
            </w:r>
          </w:p>
        </w:tc>
        <w:tc>
          <w:tcPr>
            <w:tcW w:type="dxa" w:w="5329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У пользователя много билетов; билет принадлежит одному пользователю.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pStyle w:val="ReportTableText"/>
              <w:jc w:val="center"/>
            </w:pPr>
            <w:r>
              <w:rPr>
                <w:rFonts w:ascii="Times New Roman" w:hAnsi="Times New Roman" w:cs="Times New Roman"/>
                <w:sz w:val="21"/>
              </w:rPr>
              <w:t>Мероприятие – Билет</w:t>
            </w:r>
          </w:p>
        </w:tc>
        <w:tc>
          <w:tcPr>
            <w:tcW w:type="dxa" w:w="1247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1:M</w:t>
            </w:r>
          </w:p>
        </w:tc>
        <w:tc>
          <w:tcPr>
            <w:tcW w:type="dxa" w:w="5329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У мероприятия много билетов; билет относится к одному мероприятию.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pStyle w:val="ReportTableText"/>
              <w:jc w:val="center"/>
            </w:pPr>
            <w:r>
              <w:rPr>
                <w:rFonts w:ascii="Times New Roman" w:hAnsi="Times New Roman" w:cs="Times New Roman"/>
                <w:sz w:val="21"/>
              </w:rPr>
              <w:t>Пользователь – Отзыв</w:t>
            </w:r>
          </w:p>
        </w:tc>
        <w:tc>
          <w:tcPr>
            <w:tcW w:type="dxa" w:w="1247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1:M</w:t>
            </w:r>
          </w:p>
        </w:tc>
        <w:tc>
          <w:tcPr>
            <w:tcW w:type="dxa" w:w="5329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Пользователь оставляет много отзывов; отзыв принадлежит одному пользователю.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pStyle w:val="ReportTableText"/>
              <w:jc w:val="center"/>
            </w:pPr>
            <w:r>
              <w:rPr>
                <w:rFonts w:ascii="Times New Roman" w:hAnsi="Times New Roman" w:cs="Times New Roman"/>
                <w:sz w:val="21"/>
              </w:rPr>
              <w:t>Мероприятие – Отзыв</w:t>
            </w:r>
          </w:p>
        </w:tc>
        <w:tc>
          <w:tcPr>
            <w:tcW w:type="dxa" w:w="1247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1:M</w:t>
            </w:r>
          </w:p>
        </w:tc>
        <w:tc>
          <w:tcPr>
            <w:tcW w:type="dxa" w:w="5329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У мероприятия много отзывов; отзыв относится к одному мероприятию.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pStyle w:val="ReportTableText"/>
              <w:jc w:val="center"/>
            </w:pPr>
            <w:r>
              <w:rPr>
                <w:rFonts w:ascii="Times New Roman" w:hAnsi="Times New Roman" w:cs="Times New Roman"/>
                <w:sz w:val="21"/>
              </w:rPr>
              <w:t>Организатор – Мероприятие</w:t>
            </w:r>
          </w:p>
        </w:tc>
        <w:tc>
          <w:tcPr>
            <w:tcW w:type="dxa" w:w="1247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1:M</w:t>
            </w:r>
          </w:p>
        </w:tc>
        <w:tc>
          <w:tcPr>
            <w:tcW w:type="dxa" w:w="5329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У организатора много мероприятий; у мероприятия один организатор.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pStyle w:val="ReportTableText"/>
              <w:jc w:val="center"/>
            </w:pPr>
            <w:r>
              <w:rPr>
                <w:rFonts w:ascii="Times New Roman" w:hAnsi="Times New Roman" w:cs="Times New Roman"/>
                <w:sz w:val="21"/>
              </w:rPr>
              <w:t>Место – Мероприятие</w:t>
            </w:r>
          </w:p>
        </w:tc>
        <w:tc>
          <w:tcPr>
            <w:tcW w:type="dxa" w:w="1247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1:M</w:t>
            </w:r>
          </w:p>
        </w:tc>
        <w:tc>
          <w:tcPr>
            <w:tcW w:type="dxa" w:w="5329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На площадке много мероприятий; у мероприятия одно место.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pStyle w:val="ReportTableText"/>
              <w:jc w:val="center"/>
            </w:pPr>
            <w:r>
              <w:rPr>
                <w:rFonts w:ascii="Times New Roman" w:hAnsi="Times New Roman" w:cs="Times New Roman"/>
                <w:sz w:val="21"/>
              </w:rPr>
              <w:t>Тег – Мероприятие</w:t>
            </w:r>
          </w:p>
        </w:tc>
        <w:tc>
          <w:tcPr>
            <w:tcW w:type="dxa" w:w="1247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1:M</w:t>
            </w:r>
          </w:p>
        </w:tc>
        <w:tc>
          <w:tcPr>
            <w:tcW w:type="dxa" w:w="5329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Один тег у многих мероприятий; у мероприятия один тег.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pStyle w:val="ReportTableText"/>
              <w:jc w:val="center"/>
            </w:pPr>
            <w:r>
              <w:rPr>
                <w:rFonts w:ascii="Times New Roman" w:hAnsi="Times New Roman" w:cs="Times New Roman"/>
                <w:sz w:val="21"/>
              </w:rPr>
              <w:t>Пользователь – Мероприятие (автор)</w:t>
            </w:r>
          </w:p>
        </w:tc>
        <w:tc>
          <w:tcPr>
            <w:tcW w:type="dxa" w:w="1247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0..1:M</w:t>
            </w:r>
          </w:p>
        </w:tc>
        <w:tc>
          <w:tcPr>
            <w:tcW w:type="dxa" w:w="5329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Пользователь создает много карточек; автор может быть не указан.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pStyle w:val="ReportTableText"/>
              <w:jc w:val="center"/>
            </w:pPr>
            <w:r>
              <w:rPr>
                <w:rFonts w:ascii="Times New Roman" w:hAnsi="Times New Roman" w:cs="Times New Roman"/>
                <w:sz w:val="21"/>
              </w:rPr>
              <w:t>Подарок – Промокод</w:t>
            </w:r>
          </w:p>
        </w:tc>
        <w:tc>
          <w:tcPr>
            <w:tcW w:type="dxa" w:w="1247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1:M</w:t>
            </w:r>
          </w:p>
        </w:tc>
        <w:tc>
          <w:tcPr>
            <w:tcW w:type="dxa" w:w="5329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У подарка много промокодов; промокод принадлежит одному подарку.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pStyle w:val="ReportTableText"/>
              <w:jc w:val="center"/>
            </w:pPr>
            <w:r>
              <w:rPr>
                <w:rFonts w:ascii="Times New Roman" w:hAnsi="Times New Roman" w:cs="Times New Roman"/>
                <w:sz w:val="21"/>
              </w:rPr>
              <w:t>Промокод – Билет</w:t>
            </w:r>
          </w:p>
        </w:tc>
        <w:tc>
          <w:tcPr>
            <w:tcW w:type="dxa" w:w="1247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0..1:M</w:t>
            </w:r>
          </w:p>
        </w:tc>
        <w:tc>
          <w:tcPr>
            <w:tcW w:type="dxa" w:w="5329"/>
            <w:vAlign w:val="top"/>
          </w:tcPr>
          <w:p>
            <w:pPr>
              <w:pStyle w:val="ReportTableText"/>
            </w:pPr>
            <w:r>
              <w:rPr>
                <w:rFonts w:ascii="Times New Roman" w:hAnsi="Times New Roman" w:cs="Times New Roman"/>
                <w:sz w:val="21"/>
              </w:rPr>
              <w:t>Промокод применяется в билетах; у билета промокод может отсутствовать.</w:t>
            </w:r>
          </w:p>
        </w:tc>
      </w:tr>
    </w:tbl>
    <w:p>
      <w:pPr/>
      <w:r>
        <w:rPr>
          <w:rFonts w:ascii="Times New Roman" w:hAnsi="Times New Roman" w:cs="Times New Roman"/>
          <w:sz w:val="28"/>
        </w:rPr>
        <w:t>Связь «Пользователь – Мероприятие» концептуально имеет тип M:M, но хранится через билеты и отзывы; связь «Подарок – Мероприятие» реализуется цепочкой «Подарок – Промокод – Билет – Мероприятие».</w:t>
      </w:r>
    </w:p>
    <w:p>
      <w:pPr>
        <w:pStyle w:val="ReportHeading1"/>
      </w:pPr>
      <w:r>
        <w:rPr>
          <w:rFonts w:ascii="Times New Roman" w:hAnsi="Times New Roman" w:cs="Times New Roman"/>
          <w:b/>
          <w:sz w:val="28"/>
        </w:rPr>
        <w:t>6.  Внешняя и концептуальная схемы</w:t>
      </w:r>
    </w:p>
    <w:p>
      <w:pPr/>
      <w:r>
        <w:rPr>
          <w:rFonts w:ascii="Times New Roman" w:hAnsi="Times New Roman" w:cs="Times New Roman"/>
          <w:sz w:val="28"/>
        </w:rPr>
        <w:t>В модели три группы пользователей: зритель, организатор и администратор. Внешняя схема зрителя включает опубликованные мероприятия, площадки, организаторов, теги, отзывы, свои билеты и профиль. Внешняя схема организатора — свои мероприятия, справочники, продажи и профиль. Внешняя схема администратора совпадает с концептуальной и включает все девять сущностей.</w:t>
      </w:r>
    </w:p>
    <w:p>
      <w:pPr/>
      <w:r>
        <w:rPr>
          <w:rFonts w:ascii="Times New Roman" w:hAnsi="Times New Roman" w:cs="Times New Roman"/>
          <w:sz w:val="28"/>
        </w:rPr>
        <w:t>Ниже на рисунке 1 приведена ER-диаграмма в нотации «вороньей лапки»: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072"/>
        <w:tblBorders>
          <w:top w:val="dashed" w:sz="6" w:space="0" w:color="BFBFBF"/>
          <w:left w:val="dashed" w:sz="6" w:space="0" w:color="BFBFBF"/>
          <w:bottom w:val="dashed" w:sz="6" w:space="0" w:color="BFBFBF"/>
          <w:right w:val="dashed" w:sz="6" w:space="0" w:color="BFBFBF"/>
          <w:insideH w:val="dashed" w:sz="6" w:space="0" w:color="BFBFBF"/>
          <w:insideV w:val="dashed" w:sz="6" w:space="0" w:color="BFBFBF"/>
        </w:tblBorders>
      </w:tblPr>
      <w:tblGrid>
        <w:gridCol w:w="9071"/>
      </w:tblGrid>
      <w:tr>
        <w:trPr>
          <w:trHeight w:val="4535" w:hRule="atLeast"/>
        </w:trPr>
        <w:tc>
          <w:tcPr>
            <w:tcW w:type="dxa" w:w="9071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cs="Times New Roman"/>
                <w:color w:val="969696"/>
                <w:sz w:val="24"/>
              </w:rPr>
              <w:t>[ Место для рисунка 1 — вставьте ER-диаграмму ]</w:t>
            </w:r>
          </w:p>
        </w:tc>
      </w:tr>
    </w:tbl>
    <w:p>
      <w:pPr>
        <w:pStyle w:val="ReportCaption"/>
      </w:pPr>
      <w:r>
        <w:rPr>
          <w:rFonts w:ascii="Times New Roman" w:hAnsi="Times New Roman" w:cs="Times New Roman"/>
          <w:sz w:val="24"/>
        </w:rPr>
        <w:t>Рисунок 1. Концептуальная ER-диаграмма VibeCity.</w:t>
        <w:br/>
        <w:t>Девять сущностей и десять связей между ними.</w:t>
      </w:r>
    </w:p>
    <w:p>
      <w:pPr>
        <w:pStyle w:val="ReportHeading1"/>
      </w:pPr>
      <w:r>
        <w:rPr>
          <w:rFonts w:ascii="Times New Roman" w:hAnsi="Times New Roman" w:cs="Times New Roman"/>
          <w:b/>
          <w:sz w:val="28"/>
        </w:rPr>
        <w:t>7.  Итоги первого этапа</w:t>
      </w:r>
    </w:p>
    <w:p>
      <w:pPr/>
      <w:r>
        <w:rPr>
          <w:rFonts w:ascii="Times New Roman" w:hAnsi="Times New Roman" w:cs="Times New Roman"/>
          <w:sz w:val="28"/>
        </w:rPr>
        <w:t>Для предметной области «Афиша мероприятий VibeCity» выделены девять сущностей и десять связей типа 1:M. Детально описаны четыре основные сущности, их атрибуты, домены и ограничения; для справочников указаны ключевые атрибуты. Сформулированы потребности администратора и построена концептуальная ER-диаграмма. Модель готова к нормализации и физической реализации на MySQL 8.0 и Prisma ORM.</w:t>
      </w:r>
    </w:p>
    <w:sectPr w:rsidR="00FC693F" w:rsidRPr="0006063C" w:rsidSect="00034616">
      <w:pgSz w:w="11906" w:h="16838"/>
      <w:pgMar w:top="1134" w:right="1134" w:bottom="1134" w:left="1701" w:header="72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/>
      <w:sz w:val="28"/>
      <w:lang w:val="ru-RU" w:eastAsia="ru-RU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Title">
    <w:name w:val="Report Title"/>
    <w:basedOn w:val="Normal"/>
    <w:pPr>
      <w:spacing w:line="276" w:lineRule="auto" w:before="0" w:after="0"/>
      <w:ind w:firstLine="0"/>
      <w:jc w:val="center"/>
    </w:pPr>
    <w:rPr>
      <w:rFonts w:ascii="Times New Roman" w:hAnsi="Times New Roman"/>
      <w:sz w:val="28"/>
      <w:lang w:val="ru-RU" w:eastAsia="ru-RU" w:bidi="ar-SA"/>
    </w:rPr>
  </w:style>
  <w:style w:type="paragraph" w:customStyle="1" w:styleId="ReportMeta">
    <w:name w:val="Report Meta"/>
    <w:basedOn w:val="Normal"/>
    <w:pPr>
      <w:spacing w:line="360" w:lineRule="auto" w:before="0" w:after="0"/>
      <w:ind w:firstLine="0"/>
      <w:jc w:val="left"/>
    </w:pPr>
    <w:rPr>
      <w:rFonts w:ascii="Times New Roman" w:hAnsi="Times New Roman"/>
      <w:sz w:val="28"/>
      <w:lang w:val="ru-RU" w:eastAsia="ru-RU" w:bidi="ar-SA"/>
    </w:rPr>
  </w:style>
  <w:style w:type="paragraph" w:customStyle="1" w:styleId="ReportHeading1">
    <w:name w:val="Report Heading 1"/>
    <w:basedOn w:val="Normal"/>
    <w:pPr>
      <w:keepNext/>
      <w:spacing w:before="240" w:after="120"/>
      <w:ind w:firstLine="709"/>
      <w:jc w:val="left"/>
      <w:outlineLvl w:val="0"/>
    </w:pPr>
    <w:rPr>
      <w:rFonts w:ascii="Times New Roman" w:hAnsi="Times New Roman"/>
      <w:b/>
      <w:sz w:val="28"/>
      <w:lang w:val="ru-RU" w:eastAsia="ru-RU" w:bidi="ar-SA"/>
    </w:rPr>
  </w:style>
  <w:style w:type="paragraph" w:customStyle="1" w:styleId="ReportHeading2">
    <w:name w:val="Report Heading 2"/>
    <w:basedOn w:val="Normal"/>
    <w:pPr>
      <w:keepNext/>
      <w:spacing w:before="200" w:after="80"/>
      <w:ind w:firstLine="709"/>
      <w:jc w:val="left"/>
      <w:outlineLvl w:val="1"/>
    </w:pPr>
    <w:rPr>
      <w:rFonts w:ascii="Times New Roman" w:hAnsi="Times New Roman"/>
      <w:b/>
      <w:sz w:val="28"/>
      <w:lang w:val="ru-RU" w:eastAsia="ru-RU" w:bidi="ar-SA"/>
    </w:rPr>
  </w:style>
  <w:style w:type="paragraph" w:customStyle="1" w:styleId="ReportCaption">
    <w:name w:val="Report Caption"/>
    <w:basedOn w:val="Normal"/>
    <w:pPr>
      <w:spacing w:line="240" w:lineRule="auto" w:before="120" w:after="120"/>
      <w:ind w:firstLine="0"/>
      <w:jc w:val="center"/>
    </w:pPr>
    <w:rPr>
      <w:rFonts w:ascii="Times New Roman" w:hAnsi="Times New Roman"/>
      <w:sz w:val="24"/>
      <w:lang w:val="ru-RU" w:eastAsia="ru-RU" w:bidi="ar-SA"/>
    </w:rPr>
  </w:style>
  <w:style w:type="paragraph" w:customStyle="1" w:styleId="ReportTableText">
    <w:name w:val="Report Table Text"/>
    <w:basedOn w:val="Normal"/>
    <w:pPr>
      <w:spacing w:line="240" w:lineRule="auto" w:before="0" w:after="0"/>
      <w:ind w:firstLine="0"/>
      <w:jc w:val="left"/>
    </w:pPr>
    <w:rPr>
      <w:rFonts w:ascii="Times New Roman" w:hAnsi="Times New Roman"/>
      <w:sz w:val="21"/>
      <w:lang w:val="ru-RU" w:eastAsia="ru-RU" w:bidi="ar-SA"/>
    </w:rPr>
  </w:style>
  <w:style w:type="paragraph" w:customStyle="1" w:styleId="ReportTableHeader">
    <w:name w:val="Report Table Header"/>
    <w:basedOn w:val="Normal"/>
    <w:pPr>
      <w:spacing w:line="240" w:lineRule="auto" w:before="0" w:after="0"/>
      <w:ind w:firstLine="0"/>
      <w:jc w:val="center"/>
    </w:pPr>
    <w:rPr>
      <w:rFonts w:ascii="Times New Roman" w:hAnsi="Times New Roman"/>
      <w:b/>
      <w:sz w:val="21"/>
      <w:lang w:val="ru-RU" w:eastAsia="ru-RU" w:bidi="ar-SA"/>
    </w:rPr>
  </w:style>
  <w:style w:type="paragraph" w:customStyle="1" w:styleId="ReportListItem">
    <w:name w:val="Report List Item"/>
    <w:basedOn w:val="Normal"/>
    <w:pPr>
      <w:spacing w:line="360" w:lineRule="auto" w:before="0" w:after="0"/>
      <w:ind w:left="1417" w:hanging="454"/>
      <w:jc w:val="both"/>
    </w:pPr>
    <w:rPr>
      <w:rFonts w:ascii="Times New Roman" w:hAnsi="Times New Roman"/>
      <w:sz w:val="28"/>
      <w:lang w:val="ru-RU" w:eastAsia="ru-RU" w:bidi="ar-S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УСР 1 — концептуальное проектирование базы данных VibeCity</dc:title>
  <dc:subject>Системы баз данных</dc:subject>
  <dc:creator/>
  <cp:keywords/>
  <dc:description>Отчёт по УСР 1 для проекта VibeCity (афиша мероприятий).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