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pPr>
        <w:keepNext w:val="0"/>
        <w:keepLines w:val="0"/>
        <w:pageBreakBefore w:val="0"/>
        <w:framePr w:lines="0"/>
        <w:widowControl/>
        <w:suppressLineNumbers w:val="0"/>
        <w:tabs>
          <w:tab w:val="left" w:pos="782"/>
        </w:tabs>
        <w:suppressAutoHyphens w:val="0"/>
        <w:bidi w:val="0"/>
        <w:spacing w:before="0" w:beforeAutospacing="0" w:after="120" w:afterAutospacing="0" w:line="264"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This Data Processing Addendum (“</w:t>
      </w:r>
      <w:r>
        <w:rPr>
          <w:rFonts w:ascii="Arial" w:eastAsia="Arial" w:hAnsi="Arial" w:cs="Arial"/>
          <w:b/>
          <w:bCs/>
          <w:i w:val="0"/>
          <w:caps w:val="0"/>
          <w:outline w:val="0"/>
          <w:color w:val="000000"/>
          <w:w w:val="100"/>
          <w:kern w:val="0"/>
          <w:sz w:val="20"/>
          <w:szCs w:val="20"/>
          <w:u w:val="none"/>
          <w:rtl w:val="0"/>
        </w:rPr>
        <w:t>Addendum</w:t>
      </w:r>
      <w:r>
        <w:rPr>
          <w:rFonts w:ascii="Arial" w:eastAsia="Arial" w:hAnsi="Arial" w:cs="Arial"/>
          <w:b w:val="0"/>
          <w:i w:val="0"/>
          <w:caps w:val="0"/>
          <w:outline w:val="0"/>
          <w:color w:val="000000"/>
          <w:w w:val="100"/>
          <w:kern w:val="0"/>
          <w:sz w:val="20"/>
          <w:szCs w:val="20"/>
          <w:u w:val="none"/>
          <w:rtl w:val="0"/>
        </w:rPr>
        <w:t>“) forms part of the agreement between the undersigned customer (“</w:t>
      </w:r>
      <w:r>
        <w:rPr>
          <w:rFonts w:ascii="Arial" w:eastAsia="Arial" w:hAnsi="Arial" w:cs="Arial"/>
          <w:b/>
          <w:bCs/>
          <w:i w:val="0"/>
          <w:caps w:val="0"/>
          <w:outline w:val="0"/>
          <w:color w:val="000000"/>
          <w:w w:val="100"/>
          <w:kern w:val="0"/>
          <w:sz w:val="20"/>
          <w:szCs w:val="20"/>
          <w:u w:val="none"/>
          <w:rtl w:val="0"/>
        </w:rPr>
        <w:t>Customer</w:t>
      </w:r>
      <w:r>
        <w:rPr>
          <w:rFonts w:ascii="Arial" w:eastAsia="Arial" w:hAnsi="Arial" w:cs="Arial"/>
          <w:b w:val="0"/>
          <w:i w:val="0"/>
          <w:caps w:val="0"/>
          <w:outline w:val="0"/>
          <w:color w:val="000000"/>
          <w:w w:val="100"/>
          <w:kern w:val="0"/>
          <w:sz w:val="20"/>
          <w:szCs w:val="20"/>
          <w:u w:val="none"/>
          <w:rtl w:val="0"/>
        </w:rPr>
        <w:t>”) and Parley Pro for the purchase of online services from Parley Pro (the “</w:t>
      </w:r>
      <w:r>
        <w:rPr>
          <w:rFonts w:ascii="Arial" w:eastAsia="Arial" w:hAnsi="Arial" w:cs="Arial"/>
          <w:b/>
          <w:bCs/>
          <w:i w:val="0"/>
          <w:caps w:val="0"/>
          <w:outline w:val="0"/>
          <w:color w:val="000000"/>
          <w:w w:val="100"/>
          <w:kern w:val="0"/>
          <w:sz w:val="20"/>
          <w:szCs w:val="20"/>
          <w:u w:val="none"/>
          <w:rtl w:val="0"/>
        </w:rPr>
        <w:t>Agreement</w:t>
      </w:r>
      <w:r>
        <w:rPr>
          <w:rFonts w:ascii="Arial" w:eastAsia="Arial" w:hAnsi="Arial" w:cs="Arial"/>
          <w:b w:val="0"/>
          <w:i w:val="0"/>
          <w:caps w:val="0"/>
          <w:outline w:val="0"/>
          <w:color w:val="000000"/>
          <w:w w:val="100"/>
          <w:kern w:val="0"/>
          <w:sz w:val="20"/>
          <w:szCs w:val="20"/>
          <w:u w:val="none"/>
          <w:rtl w:val="0"/>
        </w:rPr>
        <w:t>”) to reflect the parties’ agreement with regard to the processing of personal data and replaces and supersedes any existing provision regarding personal data in the Agreement. All capitalized terms not defined herein shall have the meaning set forth in the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 w:val="20"/>
          <w:szCs w:val="20"/>
        </w:rPr>
      </w:pPr>
      <w:r>
        <w:rPr>
          <w:rFonts w:ascii="Calibri" w:eastAsia="Calibri" w:hAnsi="Calibri" w:cs="Calibri"/>
          <w:b/>
          <w:bCs/>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18"/>
        </w:numPr>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The parties understand that personally identifiable information may be disclosed by Customer to Parley Pro and/or processed by Parley Pro on behalf of Customer (“</w:t>
      </w:r>
      <w:r>
        <w:rPr>
          <w:rFonts w:ascii="Arial" w:eastAsia="Arial" w:hAnsi="Arial" w:cs="Arial"/>
          <w:b/>
          <w:bCs/>
          <w:i w:val="0"/>
          <w:caps w:val="0"/>
          <w:outline w:val="0"/>
          <w:color w:val="000000"/>
          <w:w w:val="100"/>
          <w:kern w:val="0"/>
          <w:sz w:val="20"/>
          <w:szCs w:val="20"/>
          <w:u w:val="none"/>
          <w:rtl w:val="0"/>
        </w:rPr>
        <w:t>Customer Personal Data</w:t>
      </w:r>
      <w:r>
        <w:rPr>
          <w:rFonts w:ascii="Arial" w:eastAsia="Arial" w:hAnsi="Arial" w:cs="Arial"/>
          <w:b w:val="0"/>
          <w:i w:val="0"/>
          <w:caps w:val="0"/>
          <w:outline w:val="0"/>
          <w:color w:val="000000"/>
          <w:w w:val="100"/>
          <w:kern w:val="0"/>
          <w:sz w:val="20"/>
          <w:szCs w:val="20"/>
          <w:u w:val="none"/>
          <w:rtl w:val="0"/>
        </w:rPr>
        <w:t>”). The parties agree that control of and responsibility for such Customer Personal Data shall at all times remain with Customer, and that Parley Pro is the data processor under this Agreement.</w:t>
      </w:r>
    </w:p>
    <w:p>
      <w:pPr>
        <w:pStyle w:val="ListParagraph"/>
        <w:keepNext w:val="0"/>
        <w:keepLines w:val="0"/>
        <w:pageBreakBefore w:val="0"/>
        <w:framePr w:lines="0"/>
        <w:widowControl/>
        <w:suppressLineNumbers w:val="0"/>
        <w:tabs>
          <w:tab w:val="left" w:pos="782"/>
        </w:tabs>
        <w:suppressAutoHyphens w:val="0"/>
        <w:bidi w:val="0"/>
        <w:spacing w:before="0" w:beforeAutospacing="0" w:after="240" w:afterAutospacing="0" w:line="264"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18"/>
        </w:numPr>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7"/>
          <w:szCs w:val="27"/>
        </w:rPr>
      </w:pPr>
      <w:r>
        <w:rPr>
          <w:rFonts w:ascii="Arial" w:eastAsia="Arial" w:hAnsi="Arial" w:cs="Arial"/>
          <w:b w:val="0"/>
          <w:i w:val="0"/>
          <w:caps w:val="0"/>
          <w:outline w:val="0"/>
          <w:color w:val="000000"/>
          <w:w w:val="100"/>
          <w:kern w:val="0"/>
          <w:sz w:val="20"/>
          <w:szCs w:val="20"/>
          <w:u w:val="none"/>
          <w:rtl w:val="0"/>
        </w:rPr>
        <w:t xml:space="preserve">Parley Pro will process, use and disclose Customer Personal Data in accordance with applicable laws, and to the extent Customer Personal Data relates to EU individuals, Regulation </w:t>
      </w:r>
      <w:r>
        <w:rPr>
          <w:rFonts w:ascii="Arial" w:eastAsia="Arial" w:hAnsi="Arial" w:cs="Arial"/>
          <w:b w:val="0"/>
          <w:i w:val="0"/>
          <w:caps w:val="0"/>
          <w:outline w:val="0"/>
          <w:color w:val="000000"/>
          <w:w w:val="100"/>
          <w:kern w:val="0"/>
          <w:sz w:val="18"/>
          <w:szCs w:val="18"/>
          <w:u w:val="none"/>
          <w:rtl w:val="0"/>
        </w:rPr>
        <w:t>(EU) 2016/679 (the “</w:t>
      </w:r>
      <w:r>
        <w:rPr>
          <w:rFonts w:ascii="Arial" w:eastAsia="Arial" w:hAnsi="Arial" w:cs="Arial"/>
          <w:b/>
          <w:bCs/>
          <w:i w:val="0"/>
          <w:caps w:val="0"/>
          <w:outline w:val="0"/>
          <w:color w:val="000000"/>
          <w:w w:val="100"/>
          <w:kern w:val="0"/>
          <w:sz w:val="20"/>
          <w:szCs w:val="20"/>
          <w:u w:val="none"/>
          <w:rtl w:val="0"/>
        </w:rPr>
        <w:t>GDPR</w:t>
      </w:r>
      <w:r>
        <w:rPr>
          <w:rFonts w:ascii="Arial" w:eastAsia="Arial" w:hAnsi="Arial" w:cs="Arial"/>
          <w:b w:val="0"/>
          <w:i w:val="0"/>
          <w:caps w:val="0"/>
          <w:outline w:val="0"/>
          <w:color w:val="000000"/>
          <w:w w:val="100"/>
          <w:kern w:val="0"/>
          <w:sz w:val="20"/>
          <w:szCs w:val="20"/>
          <w:u w:val="none"/>
          <w:rtl w:val="0"/>
        </w:rPr>
        <w:t>”), and to the extent Customer Personal Data relates to UK individuals, the Data Protection Act 2018 (the “</w:t>
      </w:r>
      <w:r>
        <w:rPr>
          <w:rFonts w:ascii="Arial" w:eastAsia="Arial" w:hAnsi="Arial" w:cs="Arial"/>
          <w:b/>
          <w:bCs/>
          <w:i w:val="0"/>
          <w:caps w:val="0"/>
          <w:outline w:val="0"/>
          <w:color w:val="000000"/>
          <w:w w:val="100"/>
          <w:kern w:val="0"/>
          <w:sz w:val="20"/>
          <w:szCs w:val="20"/>
          <w:u w:val="none"/>
          <w:rtl w:val="0"/>
        </w:rPr>
        <w:t>DPA 2018</w:t>
      </w:r>
      <w:r>
        <w:rPr>
          <w:rFonts w:ascii="Arial" w:eastAsia="Arial" w:hAnsi="Arial" w:cs="Arial"/>
          <w:b w:val="0"/>
          <w:i w:val="0"/>
          <w:caps w:val="0"/>
          <w:outline w:val="0"/>
          <w:color w:val="000000"/>
          <w:w w:val="100"/>
          <w:kern w:val="0"/>
          <w:sz w:val="20"/>
          <w:szCs w:val="20"/>
          <w:u w:val="none"/>
          <w:rtl w:val="0"/>
        </w:rPr>
        <w:t>”) and solely for the purpose of providing the SaaS Services to Customer.  Parley Pro will not otherwise (i) process and use Customer Personal Data for purposes other than those set forth in this Agreement or as instructed by Customer; or (ii) disclose Customer Personal Data to third parties other than Parley Pro’s affiliates, subsidiaries or suppliers, for the aforementioned purposes or as required by law. The purpose and duration of the processing, its nature, the type of Customer Personal Data subject to processing and the categories of data subjects are specified in the Data Protection Schedule attached hereto and incorporated by reference herein.</w:t>
      </w:r>
      <w:r>
        <w:rPr>
          <w:rFonts w:ascii="Arial" w:eastAsia="Arial" w:hAnsi="Arial" w:cs="Arial"/>
          <w:b w:val="0"/>
          <w:i w:val="0"/>
          <w:caps w:val="0"/>
          <w:outline w:val="0"/>
          <w:color w:val="000000"/>
          <w:w w:val="100"/>
          <w:kern w:val="0"/>
          <w:sz w:val="27"/>
          <w:szCs w:val="27"/>
          <w:u w:val="none"/>
          <w:rtl w:val="0"/>
        </w:rPr>
        <w:t xml:space="preserve"> </w:t>
      </w:r>
    </w:p>
    <w:p>
      <w:pPr>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18"/>
        </w:numPr>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 xml:space="preserve">In the event Customer Personal Data relates to EU individuals, Parley Pro will comply with the requirements set forth in Article 28 of the GDPR. Accordingly, Parley Pro shall (i) ensure that Parley Pro employees authorized to process Customer Personal Data under this Agreement are bound by confidentiality terms substantially similar to those of this Agreement, (ii) taking into account the state of the art, the costs of implementation and the nature, scope, context and purposes of processing, take all security measures referred to in Article 32 of the GDPR, (iii) taking into account the nature of the processing, assist Customer by appropriate technical and organizational measures, insofar as this is possible, for the fulfilment of Customer's obligation to respond to requests for exercising the data subject's rights, (iv) delete or otherwise render inaccessible any of Customer Personal Data that remain in Parley Pro’s “live” site, with  Customer’s acknowledgment and agreement that Parley Pro has no obligation to retain Customer Personal Data after termination of this Agreement for any reason, and (v) make available to Customer all information reasonably necessary to demonstrate compliance with the obligations laid down in this Section and allow for and to the extent required by law, contribute to audits, including inspections, conducted by Customer or another independent auditor retained by Customer. Such auditor will have to be bound by confidentiality undertakings at least as stringent as those set out herein. </w:t>
      </w:r>
    </w:p>
    <w:p>
      <w:pPr>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18"/>
        </w:numPr>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 xml:space="preserve">Parley Pro may use sub-processors to carry out specific processing activities such as hosting or maintenance. Sub-processors used as at the date of the present addendum are specified in the Data Protection Schedule – Attachment 1, attached hereto. In addition, Customer generally authorizes Parley Pro to engage another sub-processor without prior specific written authorization of Customer. </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0" w:firstLine="0" w:leftChars="0" w:rightChars="0" w:firstLineChars="0"/>
        <w:contextualSpacing/>
        <w:jc w:val="left"/>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 xml:space="preserve">If you are a current Parley Pro customer with a data processing agreement in place with Parley Pro, you may subscribe to receive notifications of new Sub-processor(s) for each applicable Parley Pro Service before Parley Pro authorizes any new Sub-processor(s) to process personal data in connection with the provision of the applicable Service. </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You can subscribe to receive email notifications for changes to Parley Pro Sub-processors by emailing the</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 xml:space="preserve">following information to </w:t>
      </w:r>
      <w:hyperlink r:id="rId7" w:history="1">
        <w:r>
          <w:rPr>
            <w:rFonts w:ascii="Arial" w:eastAsia="Arial" w:hAnsi="Arial" w:cs="Arial"/>
            <w:b w:val="0"/>
            <w:i w:val="0"/>
            <w:caps w:val="0"/>
            <w:outline w:val="0"/>
            <w:color w:val="0000FF"/>
            <w:w w:val="100"/>
            <w:kern w:val="0"/>
            <w:sz w:val="20"/>
            <w:szCs w:val="20"/>
            <w:u w:val="single" w:color="0000FF"/>
            <w:rtl w:val="0"/>
          </w:rPr>
          <w:t>subprocessors@parleypro.com</w:t>
        </w:r>
      </w:hyperlink>
      <w:r>
        <w:rPr>
          <w:rFonts w:ascii="Arial" w:eastAsia="Arial" w:hAnsi="Arial" w:cs="Arial"/>
          <w:b w:val="0"/>
          <w:i w:val="0"/>
          <w:caps w:val="0"/>
          <w:outline w:val="0"/>
          <w:color w:val="000000"/>
          <w:w w:val="100"/>
          <w:kern w:val="0"/>
          <w:sz w:val="20"/>
          <w:szCs w:val="20"/>
          <w:u w:val="none"/>
          <w:rtl w:val="0"/>
        </w:rPr>
        <w:t>:</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w:t>
        <w:tab/>
        <w:t>Customer Name</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w:t>
        <w:tab/>
        <w:t>Customer Address</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w:t>
        <w:tab/>
        <w:t>Executed copy of the Parley Pro data processing addendum</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 xml:space="preserve">To edit your email notification information, please re-submit a request to </w:t>
      </w:r>
      <w:hyperlink r:id="rId7" w:history="1">
        <w:r>
          <w:rPr>
            <w:rFonts w:ascii="Arial" w:eastAsia="Arial" w:hAnsi="Arial" w:cs="Arial"/>
            <w:b w:val="0"/>
            <w:i w:val="0"/>
            <w:caps w:val="0"/>
            <w:outline w:val="0"/>
            <w:color w:val="0000FF"/>
            <w:w w:val="100"/>
            <w:kern w:val="0"/>
            <w:sz w:val="20"/>
            <w:szCs w:val="20"/>
            <w:u w:val="single" w:color="0000FF"/>
            <w:rtl w:val="0"/>
          </w:rPr>
          <w:t>subprocessors@parleypro.com</w:t>
        </w:r>
      </w:hyperlink>
      <w:r>
        <w:rPr>
          <w:rFonts w:ascii="Arial" w:eastAsia="Arial" w:hAnsi="Arial" w:cs="Arial"/>
          <w:b w:val="0"/>
          <w:i w:val="0"/>
          <w:caps w:val="0"/>
          <w:outline w:val="0"/>
          <w:color w:val="000000"/>
          <w:w w:val="100"/>
          <w:kern w:val="0"/>
          <w:sz w:val="20"/>
          <w:szCs w:val="20"/>
          <w:u w:val="none"/>
          <w:rtl w:val="0"/>
        </w:rPr>
        <w:t xml:space="preserve">  with the subject title “Change in Contact Information” to Parley Pro. </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If Parley Pro wishes to replace one of its existing sub-processors or hire a new sub-processor (“Change”), Parley Pro will inform Customer in advance of any proposed changes; thereby giving Customer the opportunity to object to such Change.  Customer has a maximum period of two (2) business days from the date of receipt of this information to expressly object to the Change on reasonable grounds by sending a notice to Parley Pro. Such notice shall set out the reasons for such objection. The parties will seek to resolve the issue through a mutually agreeable understanding. If five (5) days before the effective date of the Change, the parties have failed to reach a common understanding, Customer will be entitled to terminate the Agreement with effect as at the effective date of the Change. If Customer does not terminate the Agreement pursuant to this Section, Customer will be considered as having agreed to the Change. This termination right is Customer’s sole and exclusive remedy if Customer objects to any new sub-processor. Parley Pro will sign an agreement with any sub-processor it engages to ensure that such sub-processor complies with the provisions of this Section and meets the requirements of the GDPR. Parley Pro will remain responsible and liable for the compliance by any such sub-processor with the terms of this Section.</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18"/>
        </w:numPr>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Customer represents and warrants to Parley Pro that, in respect of all Customer Personal Data, Customer has the necessary authority, license or consent to provide Customer Personal Data, has complied with all applicable laws and regulations, in particular for the transmission of Customer Personal Data to Parley Pro for the purposes of the SaaS Services and this Agreement (including all legally required notices and consents).</w:t>
      </w:r>
    </w:p>
    <w:p>
      <w:pPr>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18"/>
        </w:numPr>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Customer Personal Data received or collected by Parley Pro in the European Union will not be transferred outside European Union countries.</w:t>
      </w:r>
    </w:p>
    <w:p>
      <w:pPr>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18"/>
        </w:numPr>
        <w:suppressLineNumbers w:val="0"/>
        <w:suppressAutoHyphens w:val="0"/>
        <w:bidi w:val="0"/>
        <w:spacing w:before="0" w:beforeAutospacing="0" w:after="240" w:afterAutospacing="0" w:line="240" w:lineRule="auto"/>
        <w:ind w:left="720" w:right="26" w:hanging="360" w:leftChars="0" w:rightChars="0" w:firstLineChars="0"/>
        <w:contextualSpacing/>
        <w:jc w:val="left"/>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Upon occurrence of any actual information security breach affecting Customer Personal Data, (the “</w:t>
      </w:r>
      <w:r>
        <w:rPr>
          <w:rFonts w:ascii="Arial" w:eastAsia="Arial" w:hAnsi="Arial" w:cs="Arial"/>
          <w:b/>
          <w:bCs/>
          <w:i w:val="0"/>
          <w:caps w:val="0"/>
          <w:outline w:val="0"/>
          <w:color w:val="000000"/>
          <w:w w:val="100"/>
          <w:kern w:val="0"/>
          <w:sz w:val="20"/>
          <w:szCs w:val="20"/>
          <w:u w:val="none"/>
          <w:rtl w:val="0"/>
        </w:rPr>
        <w:t>Security Breach</w:t>
      </w:r>
      <w:r>
        <w:rPr>
          <w:rFonts w:ascii="Arial" w:eastAsia="Arial" w:hAnsi="Arial" w:cs="Arial"/>
          <w:b w:val="0"/>
          <w:i w:val="0"/>
          <w:caps w:val="0"/>
          <w:outline w:val="0"/>
          <w:color w:val="000000"/>
          <w:w w:val="100"/>
          <w:kern w:val="0"/>
          <w:sz w:val="20"/>
          <w:szCs w:val="20"/>
          <w:u w:val="none"/>
          <w:rtl w:val="0"/>
        </w:rPr>
        <w:t xml:space="preserve">”), Parley Pro shall: </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1229" w:firstLine="0"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(i)</w:t>
        <w:tab/>
        <w:t xml:space="preserve">notify Customer of the Security Breach to Customer and deliver to Customer a written report regarding the nature of the Security Breach, the categories and the approximate number of the Customer Personal Data affected, if such information is available. Parley Pro shall also describe the likely consequences of the Security Breach on personal data as well as the measures taken or proposed to be taken to address the Customer Personal Data breach, including, where appropriate, to mitigate its possible adverse effects; and </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1229" w:firstLine="0"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(ii)</w:t>
        <w:tab/>
        <w:t xml:space="preserve">Proceed as quickly as reasonably possible (a) to mitigate any adverse impact or other harm to Customer and any affected individuals resulting from such Security Breach; and (b) to prevent similar Security Breaches from occurring in the future. Parley Pro will keep Customer fully informed of all stages of its investigation and all actions taken as a result thereof. </w:t>
      </w:r>
    </w:p>
    <w:p>
      <w:pPr>
        <w:pStyle w:val="ListParagraph"/>
        <w:keepNext w:val="0"/>
        <w:keepLines w:val="0"/>
        <w:pageBreakBefore w:val="0"/>
        <w:framePr w:lines="0"/>
        <w:widowControl/>
        <w:suppressLineNumbers w:val="0"/>
        <w:tabs>
          <w:tab w:val="left" w:pos="782"/>
        </w:tabs>
        <w:suppressAutoHyphens w:val="0"/>
        <w:bidi w:val="0"/>
        <w:spacing w:before="0" w:beforeAutospacing="0" w:after="0" w:afterAutospacing="0" w:line="240" w:lineRule="auto"/>
        <w:ind w:left="360" w:right="0" w:firstLine="0" w:leftChars="0" w:rightChars="0" w:firstLineChars="0"/>
        <w:contextualSpacing/>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tabs>
          <w:tab w:val="left" w:pos="782"/>
        </w:tabs>
        <w:suppressAutoHyphens w:val="0"/>
        <w:bidi w:val="0"/>
        <w:spacing w:before="0" w:beforeAutospacing="0" w:after="240" w:afterAutospacing="0" w:line="264"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This Addendum shall be effective as of the effective date of the Agreement and shall remain effective for so long as the Agreement remains in effect. Only a written agreement signed by authorized representatives of both parties can modify this Addendum. In the event of inconsistency between the Agreement and the Addendum provisions, the parties agree that the provisions of this Addendum will prevail.</w:t>
      </w:r>
    </w:p>
    <w:tbl>
      <w:tblPr>
        <w:tblStyle w:val="TableNormal"/>
        <w:tblW w:w="10618" w:type="dxa"/>
        <w:tblInd w:w="-792" w:type="dxa"/>
        <w:tblLayout w:type="fixed"/>
        <w:tblCellMar>
          <w:top w:w="0" w:type="dxa"/>
          <w:left w:w="0" w:type="dxa"/>
          <w:bottom w:w="0" w:type="dxa"/>
          <w:right w:w="0" w:type="dxa"/>
        </w:tblCellMar>
      </w:tblPr>
      <w:tblGrid>
        <w:gridCol w:w="4723"/>
        <w:gridCol w:w="1012"/>
        <w:gridCol w:w="4883"/>
      </w:tblGrid>
      <w:tr>
        <w:tblPrEx>
          <w:tblW w:w="10618" w:type="dxa"/>
          <w:tblInd w:w="-792" w:type="dxa"/>
          <w:tblLayout w:type="fixed"/>
          <w:tblCellMar>
            <w:top w:w="0" w:type="dxa"/>
            <w:left w:w="0" w:type="dxa"/>
            <w:bottom w:w="0" w:type="dxa"/>
            <w:right w:w="0" w:type="dxa"/>
          </w:tblCellMar>
        </w:tblPrEx>
        <w:trPr>
          <w:cantSplit w:val="0"/>
          <w:trHeight w:val="389"/>
          <w:tblHeader w:val="0"/>
        </w:trPr>
        <w:tc>
          <w:tcPr>
            <w:tcW w:w="4723" w:type="dxa"/>
            <w:noWrap w:val="0"/>
            <w:tcMar>
              <w:top w:w="10" w:type="dxa"/>
              <w:left w:w="10" w:type="dxa"/>
              <w:bottom w:w="10" w:type="dxa"/>
              <w:right w:w="10" w:type="dxa"/>
            </w:tcMar>
            <w:vAlign w:val="top"/>
            <w:hideMark/>
          </w:tcPr>
          <w:p>
            <w:pPr>
              <w:widowControl w:val="0"/>
              <w:spacing w:before="0" w:after="0" w:line="190" w:lineRule="atLeas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7"/>
                <w:szCs w:val="17"/>
                <w:u w:val="none"/>
                <w:rtl w:val="0"/>
              </w:rPr>
              <w:t xml:space="preserve"> </w:t>
            </w:r>
          </w:p>
          <w:p>
            <w:pPr>
              <w:widowControl w:val="0"/>
              <w:spacing w:before="0" w:after="0" w:line="190" w:lineRule="atLeas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7"/>
                <w:szCs w:val="17"/>
                <w:u w:val="none"/>
                <w:rtl w:val="0"/>
              </w:rPr>
              <w:t xml:space="preserve">Executed by </w:t>
            </w:r>
            <w:r>
              <w:rPr>
                <w:rFonts w:ascii="Arial" w:eastAsia="Arial" w:hAnsi="Arial" w:cs="Arial"/>
                <w:b/>
                <w:bCs/>
                <w:i w:val="0"/>
                <w:iCs w:val="0"/>
                <w:caps w:val="0"/>
                <w:smallCaps w:val="0"/>
                <w:outline w:val="0"/>
                <w:color w:val="000000"/>
                <w:w w:val="100"/>
                <w:kern w:val="0"/>
                <w:sz w:val="17"/>
                <w:szCs w:val="17"/>
                <w:u w:val="none"/>
                <w:rtl w:val="0"/>
              </w:rPr>
              <w:t>Parley Pro Inc.</w:t>
            </w:r>
          </w:p>
        </w:tc>
        <w:tc>
          <w:tcPr>
            <w:tcW w:w="1012" w:type="dxa"/>
            <w:noWrap w:val="0"/>
            <w:tcMar>
              <w:top w:w="10" w:type="dxa"/>
              <w:left w:w="10" w:type="dxa"/>
              <w:bottom w:w="10" w:type="dxa"/>
              <w:right w:w="10"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6"/>
                <w:szCs w:val="16"/>
              </w:rPr>
            </w:pPr>
            <w:r>
              <w:rPr>
                <w:rFonts w:ascii="Times New Roman" w:eastAsia="Times New Roman" w:hAnsi="Times New Roman" w:cs="Times New Roman"/>
                <w:b w:val="0"/>
                <w:bCs w:val="0"/>
                <w:i w:val="0"/>
                <w:iCs w:val="0"/>
                <w:caps w:val="0"/>
                <w:smallCaps w:val="0"/>
                <w:outline w:val="0"/>
                <w:color w:val="000000"/>
                <w:w w:val="100"/>
                <w:kern w:val="0"/>
                <w:sz w:val="16"/>
                <w:szCs w:val="16"/>
                <w:u w:val="none"/>
                <w:rtl w:val="0"/>
              </w:rPr>
              <w:t xml:space="preserve"> </w:t>
            </w:r>
          </w:p>
        </w:tc>
        <w:tc>
          <w:tcPr>
            <w:tcW w:w="4883" w:type="dxa"/>
            <w:noWrap w:val="0"/>
            <w:tcMar>
              <w:top w:w="10" w:type="dxa"/>
              <w:left w:w="10" w:type="dxa"/>
              <w:bottom w:w="10" w:type="dxa"/>
              <w:right w:w="10" w:type="dxa"/>
            </w:tcMar>
            <w:vAlign w:val="top"/>
            <w:hideMark/>
          </w:tcPr>
          <w:p>
            <w:pPr>
              <w:widowControl w:val="0"/>
              <w:spacing w:before="0" w:after="0" w:line="190" w:lineRule="atLeas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7"/>
                <w:szCs w:val="17"/>
                <w:u w:val="none"/>
                <w:rtl w:val="0"/>
              </w:rPr>
              <w:t xml:space="preserve"> </w:t>
            </w:r>
          </w:p>
          <w:p>
            <w:pPr>
              <w:widowControl w:val="0"/>
              <w:spacing w:before="0" w:after="0" w:line="190" w:lineRule="atLeas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7"/>
                <w:szCs w:val="17"/>
                <w:u w:val="none"/>
                <w:rtl w:val="0"/>
              </w:rPr>
              <w:t>Executed by</w:t>
            </w:r>
            <w:r>
              <w:rPr>
                <w:rFonts w:ascii="Arial" w:eastAsia="Arial" w:hAnsi="Arial" w:cs="Arial"/>
                <w:b/>
                <w:bCs/>
                <w:i w:val="0"/>
                <w:iCs w:val="0"/>
                <w:caps w:val="0"/>
                <w:smallCaps w:val="0"/>
                <w:outline w:val="0"/>
                <w:color w:val="000000"/>
                <w:w w:val="100"/>
                <w:kern w:val="0"/>
                <w:sz w:val="17"/>
                <w:szCs w:val="17"/>
                <w:u w:val="none"/>
                <w:rtl w:val="0"/>
              </w:rPr>
              <w:t xml:space="preserve">: </w:t>
            </w:r>
            <w:sdt>
              <w:sdtPr>
                <w:rPr>
                  <w:rStyle w:val="DefaultParagraphFont"/>
                  <w:rFonts w:ascii="Arial" w:eastAsia="Arial" w:hAnsi="Arial" w:cs="Arial"/>
                  <w:b/>
                  <w:i w:val="0"/>
                  <w:color w:val="000000"/>
                  <w:sz w:val="17"/>
                  <w:u w:val="none"/>
                </w:rPr>
                <w:alias w:val="Company name"/>
                <w:id w:val="447691326"/>
                <w:placeholder>
                  <w:docPart w:val="DefaultPlaceholder_22675703"/>
                </w:placeholder>
                <w:showingPlcHdr/>
                <w:dataBinding w:prefixMappings="xmlns:ns='http://www.w3.org/2001/XMLSchema'" w:xpath="/Placeholder[1]/value[1]" w:storeItemID="e221b834-a916-4c0b-bfbd-9017475e8369"/>
                <w:text/>
              </w:sdtPr>
              <w:sdtContent>
                <w:r>
                  <w:t>Click here to enter text.</w:t>
                </w:r>
              </w:sdtContent>
            </w:sdt>
          </w:p>
        </w:tc>
      </w:tr>
      <w:tr>
        <w:tblPrEx>
          <w:tblW w:w="10618" w:type="dxa"/>
          <w:tblInd w:w="-792" w:type="dxa"/>
          <w:tblLayout w:type="fixed"/>
          <w:tblCellMar>
            <w:top w:w="0" w:type="dxa"/>
            <w:left w:w="0" w:type="dxa"/>
            <w:bottom w:w="0" w:type="dxa"/>
            <w:right w:w="0" w:type="dxa"/>
          </w:tblCellMar>
        </w:tblPrEx>
        <w:trPr>
          <w:trHeight w:val="772"/>
        </w:trPr>
        <w:tc>
          <w:tcPr>
            <w:tcW w:w="4723" w:type="dxa"/>
            <w:tcBorders>
              <w:top w:val="nil"/>
              <w:left w:val="nil"/>
              <w:bottom w:val="single" w:sz="6" w:space="0" w:color="000000"/>
              <w:right w:val="nil"/>
            </w:tcBorders>
            <w:noWrap w:val="0"/>
            <w:tcMar>
              <w:top w:w="10" w:type="dxa"/>
              <w:left w:w="10" w:type="dxa"/>
              <w:bottom w:w="8" w:type="dxa"/>
              <w:right w:w="10"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6"/>
                <w:szCs w:val="16"/>
              </w:rPr>
            </w:pPr>
            <w:r>
              <w:rPr>
                <w:rFonts w:ascii="Arial" w:eastAsia="Arial" w:hAnsi="Arial" w:cs="Arial"/>
                <w:b w:val="0"/>
                <w:bCs w:val="0"/>
                <w:i w:val="0"/>
                <w:iCs w:val="0"/>
                <w:caps w:val="0"/>
                <w:smallCaps w:val="0"/>
                <w:outline w:val="0"/>
                <w:color w:val="000000"/>
                <w:w w:val="100"/>
                <w:kern w:val="0"/>
                <w:sz w:val="16"/>
                <w:szCs w:val="16"/>
                <w:u w:val="none"/>
                <w:rtl w:val="0"/>
              </w:rPr>
              <w:t xml:space="preserve"> </w:t>
            </w:r>
          </w:p>
          <w:p>
            <w:pPr>
              <w:widowControl w:val="0"/>
              <w:spacing w:before="0" w:after="0"/>
              <w:rPr>
                <w:rFonts w:ascii="Times New Roman" w:eastAsia="Times New Roman" w:hAnsi="Times New Roman" w:cs="Times New Roman"/>
                <w:b w:val="0"/>
                <w:bCs w:val="0"/>
                <w:i w:val="0"/>
                <w:iCs w:val="0"/>
                <w:smallCaps w:val="0"/>
                <w:color w:val="000000"/>
                <w:sz w:val="17"/>
                <w:szCs w:val="17"/>
              </w:rPr>
            </w:pPr>
            <w:r>
              <w:rPr>
                <w:rFonts w:ascii="Arial" w:eastAsia="Arial" w:hAnsi="Arial" w:cs="Arial"/>
                <w:b w:val="0"/>
                <w:bCs w:val="0"/>
                <w:i w:val="0"/>
                <w:iCs w:val="0"/>
                <w:caps w:val="0"/>
                <w:smallCaps w:val="0"/>
                <w:outline w:val="0"/>
                <w:color w:val="000000"/>
                <w:w w:val="100"/>
                <w:kern w:val="0"/>
                <w:sz w:val="17"/>
                <w:szCs w:val="17"/>
                <w:u w:val="none"/>
                <w:rtl w:val="0"/>
              </w:rPr>
              <w:t>Authorized Signature:</w:t>
            </w:r>
          </w:p>
        </w:tc>
        <w:tc>
          <w:tcPr>
            <w:tcW w:w="1012" w:type="dxa"/>
            <w:tcBorders>
              <w:top w:val="nil"/>
              <w:left w:val="nil"/>
              <w:bottom w:val="nil"/>
              <w:right w:val="nil"/>
            </w:tcBorders>
            <w:noWrap w:val="0"/>
            <w:tcMar>
              <w:top w:w="10" w:type="dxa"/>
              <w:left w:w="10" w:type="dxa"/>
              <w:bottom w:w="10" w:type="dxa"/>
              <w:right w:w="10"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6"/>
                <w:szCs w:val="16"/>
              </w:rPr>
            </w:pPr>
            <w:r>
              <w:rPr>
                <w:rFonts w:ascii="Times New Roman" w:eastAsia="Times New Roman" w:hAnsi="Times New Roman" w:cs="Times New Roman"/>
                <w:b w:val="0"/>
                <w:bCs w:val="0"/>
                <w:i w:val="0"/>
                <w:iCs w:val="0"/>
                <w:caps w:val="0"/>
                <w:smallCaps w:val="0"/>
                <w:outline w:val="0"/>
                <w:color w:val="000000"/>
                <w:w w:val="100"/>
                <w:kern w:val="0"/>
                <w:sz w:val="16"/>
                <w:szCs w:val="16"/>
                <w:u w:val="none"/>
                <w:rtl w:val="0"/>
              </w:rPr>
              <w:t xml:space="preserve"> </w:t>
            </w:r>
          </w:p>
        </w:tc>
        <w:tc>
          <w:tcPr>
            <w:tcW w:w="4883" w:type="dxa"/>
            <w:tcBorders>
              <w:top w:val="nil"/>
              <w:left w:val="nil"/>
              <w:bottom w:val="single" w:sz="6" w:space="0" w:color="000000"/>
              <w:right w:val="nil"/>
            </w:tcBorders>
            <w:noWrap w:val="0"/>
            <w:tcMar>
              <w:top w:w="10" w:type="dxa"/>
              <w:left w:w="10" w:type="dxa"/>
              <w:bottom w:w="8" w:type="dxa"/>
              <w:right w:w="10"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6"/>
                <w:szCs w:val="16"/>
              </w:rPr>
            </w:pPr>
            <w:r>
              <w:rPr>
                <w:rFonts w:ascii="Arial" w:eastAsia="Arial" w:hAnsi="Arial" w:cs="Arial"/>
                <w:b w:val="0"/>
                <w:bCs w:val="0"/>
                <w:i w:val="0"/>
                <w:iCs w:val="0"/>
                <w:caps w:val="0"/>
                <w:smallCaps w:val="0"/>
                <w:outline w:val="0"/>
                <w:color w:val="000000"/>
                <w:w w:val="100"/>
                <w:kern w:val="0"/>
                <w:sz w:val="16"/>
                <w:szCs w:val="16"/>
                <w:u w:val="none"/>
                <w:rtl w:val="0"/>
              </w:rPr>
              <w:t xml:space="preserve"> </w:t>
            </w:r>
          </w:p>
          <w:p>
            <w:pPr>
              <w:widowControl w:val="0"/>
              <w:spacing w:before="0" w:after="0"/>
              <w:rPr>
                <w:rFonts w:ascii="Times New Roman" w:eastAsia="Times New Roman" w:hAnsi="Times New Roman" w:cs="Times New Roman"/>
                <w:b w:val="0"/>
                <w:bCs w:val="0"/>
                <w:i w:val="0"/>
                <w:iCs w:val="0"/>
                <w:smallCaps w:val="0"/>
                <w:color w:val="000000"/>
                <w:sz w:val="17"/>
                <w:szCs w:val="17"/>
              </w:rPr>
            </w:pPr>
            <w:r>
              <w:rPr>
                <w:rFonts w:ascii="Arial" w:eastAsia="Arial" w:hAnsi="Arial" w:cs="Arial"/>
                <w:b w:val="0"/>
                <w:bCs w:val="0"/>
                <w:i w:val="0"/>
                <w:iCs w:val="0"/>
                <w:caps w:val="0"/>
                <w:smallCaps w:val="0"/>
                <w:outline w:val="0"/>
                <w:color w:val="000000"/>
                <w:w w:val="100"/>
                <w:kern w:val="0"/>
                <w:sz w:val="17"/>
                <w:szCs w:val="17"/>
                <w:u w:val="none"/>
                <w:rtl w:val="0"/>
              </w:rPr>
              <w:t>Authorized Signature:</w:t>
            </w:r>
          </w:p>
        </w:tc>
      </w:tr>
      <w:tr>
        <w:tblPrEx>
          <w:tblW w:w="10618" w:type="dxa"/>
          <w:tblInd w:w="-792" w:type="dxa"/>
          <w:tblLayout w:type="fixed"/>
          <w:tblCellMar>
            <w:top w:w="0" w:type="dxa"/>
            <w:left w:w="0" w:type="dxa"/>
            <w:bottom w:w="0" w:type="dxa"/>
            <w:right w:w="0" w:type="dxa"/>
          </w:tblCellMar>
        </w:tblPrEx>
        <w:trPr>
          <w:trHeight w:val="776"/>
        </w:trPr>
        <w:tc>
          <w:tcPr>
            <w:tcW w:w="4723" w:type="dxa"/>
            <w:tcBorders>
              <w:top w:val="single" w:sz="6" w:space="0" w:color="000000"/>
              <w:left w:val="nil"/>
              <w:bottom w:val="nil"/>
              <w:right w:val="nil"/>
            </w:tcBorders>
            <w:noWrap w:val="0"/>
            <w:tcMar>
              <w:top w:w="8" w:type="dxa"/>
              <w:left w:w="10" w:type="dxa"/>
              <w:bottom w:w="10" w:type="dxa"/>
              <w:right w:w="10"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w w:val="100"/>
                <w:kern w:val="0"/>
                <w:sz w:val="18"/>
                <w:szCs w:val="18"/>
                <w:u w:val="none"/>
                <w:rtl w:val="0"/>
              </w:rPr>
              <w:t xml:space="preserve"> </w:t>
            </w:r>
          </w:p>
          <w:p>
            <w:pPr>
              <w:widowControl w:val="0"/>
              <w:spacing w:before="10" w:after="0"/>
              <w:rPr>
                <w:rFonts w:ascii="Times New Roman" w:eastAsia="Times New Roman" w:hAnsi="Times New Roman" w:cs="Times New Roman"/>
                <w:b w:val="0"/>
                <w:bCs w:val="0"/>
                <w:i w:val="0"/>
                <w:iCs w:val="0"/>
                <w:smallCaps w:val="0"/>
                <w:color w:val="000000"/>
                <w:sz w:val="15"/>
                <w:szCs w:val="15"/>
              </w:rPr>
            </w:pPr>
            <w:r>
              <w:rPr>
                <w:rFonts w:ascii="Arial" w:eastAsia="Arial" w:hAnsi="Arial" w:cs="Arial"/>
                <w:b w:val="0"/>
                <w:bCs w:val="0"/>
                <w:i w:val="0"/>
                <w:iCs w:val="0"/>
                <w:caps w:val="0"/>
                <w:smallCaps w:val="0"/>
                <w:outline w:val="0"/>
                <w:color w:val="000000"/>
                <w:w w:val="100"/>
                <w:kern w:val="0"/>
                <w:sz w:val="15"/>
                <w:szCs w:val="15"/>
                <w:u w:val="none"/>
                <w:rtl w:val="0"/>
              </w:rPr>
              <w:t xml:space="preserve"> </w:t>
            </w:r>
          </w:p>
          <w:p>
            <w:pPr>
              <w:widowControl w:val="0"/>
              <w:spacing w:before="0" w:after="0"/>
              <w:rPr>
                <w:rFonts w:ascii="Times New Roman" w:eastAsia="Times New Roman" w:hAnsi="Times New Roman" w:cs="Times New Roman"/>
                <w:b w:val="0"/>
                <w:bCs w:val="0"/>
                <w:i w:val="0"/>
                <w:iCs w:val="0"/>
                <w:smallCaps w:val="0"/>
                <w:color w:val="000000"/>
                <w:sz w:val="17"/>
                <w:szCs w:val="17"/>
              </w:rPr>
            </w:pPr>
            <w:r>
              <w:rPr>
                <w:rFonts w:ascii="Arial" w:eastAsia="Arial" w:hAnsi="Arial" w:cs="Arial"/>
                <w:b w:val="0"/>
                <w:bCs w:val="0"/>
                <w:i w:val="0"/>
                <w:iCs w:val="0"/>
                <w:caps w:val="0"/>
                <w:smallCaps w:val="0"/>
                <w:outline w:val="0"/>
                <w:color w:val="000000"/>
                <w:w w:val="100"/>
                <w:kern w:val="0"/>
                <w:sz w:val="17"/>
                <w:szCs w:val="17"/>
                <w:u w:val="none"/>
                <w:rtl w:val="0"/>
              </w:rPr>
              <w:t>Name</w:t>
            </w:r>
            <w:r>
              <w:rPr>
                <w:rFonts w:ascii="Arial" w:eastAsia="Arial" w:hAnsi="Arial" w:cs="Arial"/>
                <w:b w:val="0"/>
                <w:bCs w:val="0"/>
                <w:i w:val="0"/>
                <w:iCs w:val="0"/>
                <w:caps w:val="0"/>
                <w:smallCaps w:val="0"/>
                <w:outline w:val="0"/>
                <w:color w:val="000000"/>
                <w:spacing w:val="13"/>
                <w:w w:val="100"/>
                <w:kern w:val="0"/>
                <w:sz w:val="17"/>
                <w:szCs w:val="17"/>
                <w:u w:val="none"/>
                <w:rtl w:val="0"/>
              </w:rPr>
              <w:t xml:space="preserve"> </w:t>
            </w:r>
            <w:r>
              <w:rPr>
                <w:rFonts w:ascii="Arial" w:eastAsia="Arial" w:hAnsi="Arial" w:cs="Arial"/>
                <w:b w:val="0"/>
                <w:bCs w:val="0"/>
                <w:i w:val="0"/>
                <w:iCs w:val="0"/>
                <w:caps w:val="0"/>
                <w:smallCaps w:val="0"/>
                <w:outline w:val="0"/>
                <w:color w:val="000000"/>
                <w:spacing w:val="13"/>
                <w:w w:val="100"/>
                <w:kern w:val="0"/>
                <w:sz w:val="17"/>
                <w:szCs w:val="17"/>
                <w:u w:val="single" w:color="000000"/>
                <w:rtl w:val="0"/>
              </w:rPr>
              <w:t xml:space="preserve">                                     </w:t>
            </w:r>
          </w:p>
        </w:tc>
        <w:tc>
          <w:tcPr>
            <w:tcW w:w="1012" w:type="dxa"/>
            <w:tcBorders>
              <w:top w:val="nil"/>
              <w:left w:val="nil"/>
              <w:bottom w:val="nil"/>
              <w:right w:val="nil"/>
            </w:tcBorders>
            <w:noWrap w:val="0"/>
            <w:tcMar>
              <w:top w:w="10" w:type="dxa"/>
              <w:left w:w="10" w:type="dxa"/>
              <w:bottom w:w="10" w:type="dxa"/>
              <w:right w:w="10"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6"/>
                <w:szCs w:val="16"/>
              </w:rPr>
            </w:pPr>
            <w:r>
              <w:rPr>
                <w:rFonts w:ascii="Times New Roman" w:eastAsia="Times New Roman" w:hAnsi="Times New Roman" w:cs="Times New Roman"/>
                <w:b w:val="0"/>
                <w:bCs w:val="0"/>
                <w:i w:val="0"/>
                <w:iCs w:val="0"/>
                <w:caps w:val="0"/>
                <w:smallCaps w:val="0"/>
                <w:outline w:val="0"/>
                <w:color w:val="000000"/>
                <w:w w:val="100"/>
                <w:kern w:val="0"/>
                <w:sz w:val="16"/>
                <w:szCs w:val="16"/>
                <w:u w:val="none"/>
                <w:rtl w:val="0"/>
              </w:rPr>
              <w:t xml:space="preserve"> </w:t>
            </w:r>
          </w:p>
        </w:tc>
        <w:tc>
          <w:tcPr>
            <w:tcW w:w="4883" w:type="dxa"/>
            <w:tcBorders>
              <w:top w:val="single" w:sz="6" w:space="0" w:color="000000"/>
              <w:left w:val="nil"/>
              <w:bottom w:val="nil"/>
              <w:right w:val="nil"/>
            </w:tcBorders>
            <w:noWrap w:val="0"/>
            <w:tcMar>
              <w:top w:w="8" w:type="dxa"/>
              <w:left w:w="10" w:type="dxa"/>
              <w:bottom w:w="10" w:type="dxa"/>
              <w:right w:w="10"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w w:val="100"/>
                <w:kern w:val="0"/>
                <w:sz w:val="18"/>
                <w:szCs w:val="18"/>
                <w:u w:val="none"/>
                <w:rtl w:val="0"/>
              </w:rPr>
              <w:t xml:space="preserve"> </w:t>
            </w:r>
          </w:p>
          <w:p>
            <w:pPr>
              <w:widowControl w:val="0"/>
              <w:spacing w:before="10" w:after="0"/>
              <w:rPr>
                <w:rFonts w:ascii="Times New Roman" w:eastAsia="Times New Roman" w:hAnsi="Times New Roman" w:cs="Times New Roman"/>
                <w:b w:val="0"/>
                <w:bCs w:val="0"/>
                <w:i w:val="0"/>
                <w:iCs w:val="0"/>
                <w:smallCaps w:val="0"/>
                <w:color w:val="000000"/>
                <w:sz w:val="15"/>
                <w:szCs w:val="15"/>
              </w:rPr>
            </w:pPr>
            <w:r>
              <w:rPr>
                <w:rFonts w:ascii="Arial" w:eastAsia="Arial" w:hAnsi="Arial" w:cs="Arial"/>
                <w:b w:val="0"/>
                <w:bCs w:val="0"/>
                <w:i w:val="0"/>
                <w:iCs w:val="0"/>
                <w:caps w:val="0"/>
                <w:smallCaps w:val="0"/>
                <w:outline w:val="0"/>
                <w:color w:val="000000"/>
                <w:w w:val="100"/>
                <w:kern w:val="0"/>
                <w:sz w:val="15"/>
                <w:szCs w:val="15"/>
                <w:u w:val="none"/>
                <w:rtl w:val="0"/>
              </w:rPr>
              <w:t xml:space="preserve"> </w:t>
            </w:r>
          </w:p>
          <w:p>
            <w:pPr>
              <w:widowControl w:val="0"/>
              <w:spacing w:before="0" w:after="0"/>
              <w:rPr>
                <w:rFonts w:ascii="Times New Roman" w:eastAsia="Times New Roman" w:hAnsi="Times New Roman" w:cs="Times New Roman"/>
                <w:b w:val="0"/>
                <w:bCs w:val="0"/>
                <w:i w:val="0"/>
                <w:iCs w:val="0"/>
                <w:smallCaps w:val="0"/>
                <w:color w:val="000000"/>
                <w:sz w:val="17"/>
                <w:szCs w:val="17"/>
              </w:rPr>
            </w:pPr>
            <w:r>
              <w:rPr>
                <w:rFonts w:ascii="Arial" w:eastAsia="Arial" w:hAnsi="Arial" w:cs="Arial"/>
                <w:b w:val="0"/>
                <w:bCs w:val="0"/>
                <w:i w:val="0"/>
                <w:iCs w:val="0"/>
                <w:caps w:val="0"/>
                <w:smallCaps w:val="0"/>
                <w:outline w:val="0"/>
                <w:color w:val="000000"/>
                <w:w w:val="100"/>
                <w:kern w:val="0"/>
                <w:sz w:val="17"/>
                <w:szCs w:val="17"/>
                <w:u w:val="none"/>
                <w:rtl w:val="0"/>
              </w:rPr>
              <w:t xml:space="preserve">Name: </w:t>
            </w:r>
            <w:r>
              <w:rPr>
                <w:rFonts w:ascii="Arial" w:eastAsia="Arial" w:hAnsi="Arial" w:cs="Arial"/>
                <w:b w:val="0"/>
                <w:bCs w:val="0"/>
                <w:i w:val="0"/>
                <w:iCs w:val="0"/>
                <w:caps w:val="0"/>
                <w:smallCaps w:val="0"/>
                <w:outline w:val="0"/>
                <w:color w:val="000000"/>
                <w:spacing w:val="-13"/>
                <w:w w:val="100"/>
                <w:kern w:val="0"/>
                <w:sz w:val="17"/>
                <w:szCs w:val="17"/>
                <w:u w:val="none"/>
                <w:rtl w:val="0"/>
              </w:rPr>
              <w:t xml:space="preserve"> </w:t>
            </w:r>
            <w:r>
              <w:rPr>
                <w:rFonts w:ascii="Arial" w:eastAsia="Arial" w:hAnsi="Arial" w:cs="Arial"/>
                <w:b w:val="0"/>
                <w:bCs w:val="0"/>
                <w:i w:val="0"/>
                <w:iCs w:val="0"/>
                <w:caps w:val="0"/>
                <w:smallCaps w:val="0"/>
                <w:outline w:val="0"/>
                <w:color w:val="000000"/>
                <w:w w:val="100"/>
                <w:kern w:val="0"/>
                <w:sz w:val="17"/>
                <w:szCs w:val="17"/>
                <w:u w:val="single" w:color="000000"/>
                <w:rtl w:val="0"/>
              </w:rPr>
              <w:t xml:space="preserve">                                          </w:t>
            </w:r>
          </w:p>
        </w:tc>
      </w:tr>
      <w:tr>
        <w:tblPrEx>
          <w:tblW w:w="10618" w:type="dxa"/>
          <w:tblInd w:w="-792" w:type="dxa"/>
          <w:tblLayout w:type="fixed"/>
          <w:tblCellMar>
            <w:top w:w="0" w:type="dxa"/>
            <w:left w:w="0" w:type="dxa"/>
            <w:bottom w:w="0" w:type="dxa"/>
            <w:right w:w="0" w:type="dxa"/>
          </w:tblCellMar>
        </w:tblPrEx>
        <w:trPr>
          <w:trHeight w:val="586"/>
        </w:trPr>
        <w:tc>
          <w:tcPr>
            <w:tcW w:w="4723" w:type="dxa"/>
            <w:tcBorders>
              <w:top w:val="nil"/>
              <w:left w:val="nil"/>
              <w:bottom w:val="nil"/>
              <w:right w:val="nil"/>
            </w:tcBorders>
            <w:noWrap w:val="0"/>
            <w:tcMar>
              <w:top w:w="10" w:type="dxa"/>
              <w:left w:w="10" w:type="dxa"/>
              <w:bottom w:w="10" w:type="dxa"/>
              <w:right w:w="10"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6"/>
                <w:szCs w:val="16"/>
              </w:rPr>
            </w:pPr>
            <w:r>
              <w:rPr>
                <w:rFonts w:ascii="Arial" w:eastAsia="Arial" w:hAnsi="Arial" w:cs="Arial"/>
                <w:b w:val="0"/>
                <w:bCs w:val="0"/>
                <w:i w:val="0"/>
                <w:iCs w:val="0"/>
                <w:caps w:val="0"/>
                <w:smallCaps w:val="0"/>
                <w:outline w:val="0"/>
                <w:color w:val="000000"/>
                <w:w w:val="100"/>
                <w:kern w:val="0"/>
                <w:sz w:val="16"/>
                <w:szCs w:val="16"/>
                <w:u w:val="none"/>
                <w:rtl w:val="0"/>
              </w:rPr>
              <w:t xml:space="preserve"> </w:t>
            </w:r>
          </w:p>
          <w:p>
            <w:pPr>
              <w:widowControl w:val="0"/>
              <w:spacing w:before="0" w:after="0"/>
              <w:rPr>
                <w:rFonts w:ascii="Times New Roman" w:eastAsia="Times New Roman" w:hAnsi="Times New Roman" w:cs="Times New Roman"/>
                <w:b w:val="0"/>
                <w:bCs w:val="0"/>
                <w:i w:val="0"/>
                <w:iCs w:val="0"/>
                <w:smallCaps w:val="0"/>
                <w:color w:val="000000"/>
                <w:sz w:val="17"/>
                <w:szCs w:val="17"/>
              </w:rPr>
            </w:pPr>
            <w:r>
              <w:rPr>
                <w:rFonts w:ascii="Arial" w:eastAsia="Arial" w:hAnsi="Arial" w:cs="Arial"/>
                <w:b w:val="0"/>
                <w:bCs w:val="0"/>
                <w:i w:val="0"/>
                <w:iCs w:val="0"/>
                <w:caps w:val="0"/>
                <w:smallCaps w:val="0"/>
                <w:outline w:val="0"/>
                <w:color w:val="000000"/>
                <w:w w:val="100"/>
                <w:kern w:val="0"/>
                <w:sz w:val="17"/>
                <w:szCs w:val="17"/>
                <w:u w:val="none"/>
                <w:rtl w:val="0"/>
              </w:rPr>
              <w:t>Title:</w:t>
            </w:r>
            <w:r>
              <w:rPr>
                <w:rFonts w:ascii="Arial" w:eastAsia="Arial" w:hAnsi="Arial" w:cs="Arial"/>
                <w:b w:val="0"/>
                <w:bCs w:val="0"/>
                <w:i w:val="0"/>
                <w:iCs w:val="0"/>
                <w:caps w:val="0"/>
                <w:smallCaps w:val="0"/>
                <w:outline w:val="0"/>
                <w:color w:val="000000"/>
                <w:spacing w:val="2"/>
                <w:w w:val="100"/>
                <w:kern w:val="0"/>
                <w:sz w:val="17"/>
                <w:szCs w:val="17"/>
                <w:u w:val="none"/>
                <w:rtl w:val="0"/>
              </w:rPr>
              <w:t xml:space="preserve"> </w:t>
            </w:r>
            <w:r>
              <w:rPr>
                <w:rFonts w:ascii="Arial" w:eastAsia="Arial" w:hAnsi="Arial" w:cs="Arial"/>
                <w:b w:val="0"/>
                <w:bCs w:val="0"/>
                <w:i w:val="0"/>
                <w:iCs w:val="0"/>
                <w:caps w:val="0"/>
                <w:smallCaps w:val="0"/>
                <w:outline w:val="0"/>
                <w:color w:val="000000"/>
                <w:w w:val="100"/>
                <w:kern w:val="0"/>
                <w:sz w:val="17"/>
                <w:szCs w:val="17"/>
                <w:u w:val="single" w:color="000000"/>
                <w:rtl w:val="0"/>
              </w:rPr>
              <w:t xml:space="preserve">                                          </w:t>
            </w:r>
          </w:p>
        </w:tc>
        <w:tc>
          <w:tcPr>
            <w:tcW w:w="1012" w:type="dxa"/>
            <w:tcBorders>
              <w:top w:val="nil"/>
              <w:left w:val="nil"/>
              <w:bottom w:val="nil"/>
              <w:right w:val="nil"/>
            </w:tcBorders>
            <w:noWrap w:val="0"/>
            <w:tcMar>
              <w:top w:w="10" w:type="dxa"/>
              <w:left w:w="10" w:type="dxa"/>
              <w:bottom w:w="10" w:type="dxa"/>
              <w:right w:w="10"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6"/>
                <w:szCs w:val="16"/>
              </w:rPr>
            </w:pPr>
            <w:r>
              <w:rPr>
                <w:rFonts w:ascii="Times New Roman" w:eastAsia="Times New Roman" w:hAnsi="Times New Roman" w:cs="Times New Roman"/>
                <w:b w:val="0"/>
                <w:bCs w:val="0"/>
                <w:i w:val="0"/>
                <w:iCs w:val="0"/>
                <w:caps w:val="0"/>
                <w:smallCaps w:val="0"/>
                <w:outline w:val="0"/>
                <w:color w:val="000000"/>
                <w:w w:val="100"/>
                <w:kern w:val="0"/>
                <w:sz w:val="16"/>
                <w:szCs w:val="16"/>
                <w:u w:val="none"/>
                <w:rtl w:val="0"/>
              </w:rPr>
              <w:t xml:space="preserve"> </w:t>
            </w:r>
          </w:p>
        </w:tc>
        <w:tc>
          <w:tcPr>
            <w:tcW w:w="4883" w:type="dxa"/>
            <w:tcBorders>
              <w:top w:val="nil"/>
              <w:left w:val="nil"/>
              <w:bottom w:val="nil"/>
              <w:right w:val="nil"/>
            </w:tcBorders>
            <w:noWrap w:val="0"/>
            <w:tcMar>
              <w:top w:w="10" w:type="dxa"/>
              <w:left w:w="10" w:type="dxa"/>
              <w:bottom w:w="10" w:type="dxa"/>
              <w:right w:w="10"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6"/>
                <w:szCs w:val="16"/>
              </w:rPr>
            </w:pPr>
            <w:r>
              <w:rPr>
                <w:rFonts w:ascii="Arial" w:eastAsia="Arial" w:hAnsi="Arial" w:cs="Arial"/>
                <w:b w:val="0"/>
                <w:bCs w:val="0"/>
                <w:i w:val="0"/>
                <w:iCs w:val="0"/>
                <w:caps w:val="0"/>
                <w:smallCaps w:val="0"/>
                <w:outline w:val="0"/>
                <w:color w:val="000000"/>
                <w:w w:val="100"/>
                <w:kern w:val="0"/>
                <w:sz w:val="16"/>
                <w:szCs w:val="16"/>
                <w:u w:val="none"/>
                <w:rtl w:val="0"/>
              </w:rPr>
              <w:t xml:space="preserve"> </w:t>
            </w:r>
          </w:p>
          <w:p>
            <w:pPr>
              <w:widowControl w:val="0"/>
              <w:spacing w:before="0" w:after="0"/>
              <w:rPr>
                <w:rFonts w:ascii="Times New Roman" w:eastAsia="Times New Roman" w:hAnsi="Times New Roman" w:cs="Times New Roman"/>
                <w:b w:val="0"/>
                <w:bCs w:val="0"/>
                <w:i w:val="0"/>
                <w:iCs w:val="0"/>
                <w:smallCaps w:val="0"/>
                <w:color w:val="000000"/>
                <w:sz w:val="17"/>
                <w:szCs w:val="17"/>
              </w:rPr>
            </w:pPr>
            <w:r>
              <w:rPr>
                <w:rFonts w:ascii="Arial" w:eastAsia="Arial" w:hAnsi="Arial" w:cs="Arial"/>
                <w:b w:val="0"/>
                <w:bCs w:val="0"/>
                <w:i w:val="0"/>
                <w:iCs w:val="0"/>
                <w:caps w:val="0"/>
                <w:smallCaps w:val="0"/>
                <w:outline w:val="0"/>
                <w:color w:val="000000"/>
                <w:w w:val="100"/>
                <w:kern w:val="0"/>
                <w:sz w:val="17"/>
                <w:szCs w:val="17"/>
                <w:u w:val="none"/>
                <w:rtl w:val="0"/>
              </w:rPr>
              <w:t>Title:</w:t>
            </w:r>
            <w:r>
              <w:rPr>
                <w:rFonts w:ascii="Arial" w:eastAsia="Arial" w:hAnsi="Arial" w:cs="Arial"/>
                <w:b w:val="0"/>
                <w:bCs w:val="0"/>
                <w:i w:val="0"/>
                <w:iCs w:val="0"/>
                <w:caps w:val="0"/>
                <w:smallCaps w:val="0"/>
                <w:outline w:val="0"/>
                <w:color w:val="000000"/>
                <w:spacing w:val="-23"/>
                <w:w w:val="100"/>
                <w:kern w:val="0"/>
                <w:sz w:val="17"/>
                <w:szCs w:val="17"/>
                <w:u w:val="none"/>
                <w:rtl w:val="0"/>
              </w:rPr>
              <w:t xml:space="preserve"> </w:t>
            </w:r>
            <w:r>
              <w:rPr>
                <w:rFonts w:ascii="Arial" w:eastAsia="Arial" w:hAnsi="Arial" w:cs="Arial"/>
                <w:b w:val="0"/>
                <w:bCs w:val="0"/>
                <w:i w:val="0"/>
                <w:iCs w:val="0"/>
                <w:caps w:val="0"/>
                <w:smallCaps w:val="0"/>
                <w:outline w:val="0"/>
                <w:color w:val="000000"/>
                <w:w w:val="100"/>
                <w:kern w:val="0"/>
                <w:sz w:val="17"/>
                <w:szCs w:val="17"/>
                <w:u w:val="single" w:color="000000"/>
                <w:rtl w:val="0"/>
              </w:rPr>
              <w:t xml:space="preserve">                                            </w:t>
            </w:r>
          </w:p>
        </w:tc>
      </w:tr>
      <w:tr>
        <w:tblPrEx>
          <w:tblW w:w="10618" w:type="dxa"/>
          <w:tblInd w:w="-792" w:type="dxa"/>
          <w:tblLayout w:type="fixed"/>
          <w:tblCellMar>
            <w:top w:w="0" w:type="dxa"/>
            <w:left w:w="0" w:type="dxa"/>
            <w:bottom w:w="0" w:type="dxa"/>
            <w:right w:w="0" w:type="dxa"/>
          </w:tblCellMar>
        </w:tblPrEx>
        <w:trPr>
          <w:trHeight w:val="387"/>
        </w:trPr>
        <w:tc>
          <w:tcPr>
            <w:tcW w:w="4723" w:type="dxa"/>
            <w:tcBorders>
              <w:top w:val="nil"/>
              <w:left w:val="nil"/>
              <w:bottom w:val="nil"/>
              <w:right w:val="nil"/>
            </w:tcBorders>
            <w:noWrap w:val="0"/>
            <w:tcMar>
              <w:top w:w="10" w:type="dxa"/>
              <w:left w:w="10" w:type="dxa"/>
              <w:bottom w:w="10" w:type="dxa"/>
              <w:right w:w="10" w:type="dxa"/>
            </w:tcMar>
            <w:vAlign w:val="top"/>
            <w:hideMark/>
          </w:tcPr>
          <w:p>
            <w:pPr>
              <w:widowControl w:val="0"/>
              <w:spacing w:before="8" w:after="0"/>
              <w:rPr>
                <w:rFonts w:ascii="Times New Roman" w:eastAsia="Times New Roman" w:hAnsi="Times New Roman" w:cs="Times New Roman"/>
                <w:b w:val="0"/>
                <w:bCs w:val="0"/>
                <w:i w:val="0"/>
                <w:iCs w:val="0"/>
                <w:smallCaps w:val="0"/>
                <w:color w:val="000000"/>
                <w:sz w:val="16"/>
                <w:szCs w:val="16"/>
              </w:rPr>
            </w:pPr>
            <w:r>
              <w:rPr>
                <w:rFonts w:ascii="Arial" w:eastAsia="Arial" w:hAnsi="Arial" w:cs="Arial"/>
                <w:b w:val="0"/>
                <w:bCs w:val="0"/>
                <w:i w:val="0"/>
                <w:iCs w:val="0"/>
                <w:caps w:val="0"/>
                <w:smallCaps w:val="0"/>
                <w:outline w:val="0"/>
                <w:color w:val="000000"/>
                <w:w w:val="100"/>
                <w:kern w:val="0"/>
                <w:sz w:val="16"/>
                <w:szCs w:val="16"/>
                <w:u w:val="none"/>
                <w:rtl w:val="0"/>
              </w:rPr>
              <w:t xml:space="preserve"> </w:t>
            </w:r>
          </w:p>
          <w:p>
            <w:pPr>
              <w:widowControl w:val="0"/>
              <w:spacing w:before="0" w:after="0" w:line="176" w:lineRule="atLeas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7"/>
                <w:szCs w:val="17"/>
                <w:u w:val="none"/>
                <w:rtl w:val="0"/>
              </w:rPr>
              <w:t>Date:</w:t>
            </w:r>
            <w:r>
              <w:rPr>
                <w:rFonts w:ascii="Arial" w:eastAsia="Arial" w:hAnsi="Arial" w:cs="Arial"/>
                <w:b w:val="0"/>
                <w:bCs w:val="0"/>
                <w:i w:val="0"/>
                <w:iCs w:val="0"/>
                <w:caps w:val="0"/>
                <w:smallCaps w:val="0"/>
                <w:outline w:val="0"/>
                <w:color w:val="000000"/>
                <w:spacing w:val="-33"/>
                <w:w w:val="100"/>
                <w:kern w:val="0"/>
                <w:sz w:val="17"/>
                <w:szCs w:val="17"/>
                <w:u w:val="none"/>
                <w:rtl w:val="0"/>
              </w:rPr>
              <w:t xml:space="preserve"> </w:t>
            </w:r>
            <w:r>
              <w:rPr>
                <w:rFonts w:ascii="Arial" w:eastAsia="Arial" w:hAnsi="Arial" w:cs="Arial"/>
                <w:b w:val="0"/>
                <w:bCs w:val="0"/>
                <w:i w:val="0"/>
                <w:iCs w:val="0"/>
                <w:caps w:val="0"/>
                <w:smallCaps w:val="0"/>
                <w:outline w:val="0"/>
                <w:color w:val="000000"/>
                <w:w w:val="100"/>
                <w:kern w:val="0"/>
                <w:sz w:val="17"/>
                <w:szCs w:val="17"/>
                <w:u w:val="single" w:color="000000"/>
                <w:rtl w:val="0"/>
              </w:rPr>
              <w:t xml:space="preserve">                                          </w:t>
            </w:r>
          </w:p>
        </w:tc>
        <w:tc>
          <w:tcPr>
            <w:tcW w:w="1012" w:type="dxa"/>
            <w:tcBorders>
              <w:top w:val="nil"/>
              <w:left w:val="nil"/>
              <w:bottom w:val="nil"/>
              <w:right w:val="nil"/>
            </w:tcBorders>
            <w:noWrap w:val="0"/>
            <w:tcMar>
              <w:top w:w="10" w:type="dxa"/>
              <w:left w:w="10" w:type="dxa"/>
              <w:bottom w:w="10" w:type="dxa"/>
              <w:right w:w="10"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6"/>
                <w:szCs w:val="16"/>
              </w:rPr>
            </w:pPr>
            <w:r>
              <w:rPr>
                <w:rFonts w:ascii="Times New Roman" w:eastAsia="Times New Roman" w:hAnsi="Times New Roman" w:cs="Times New Roman"/>
                <w:b w:val="0"/>
                <w:bCs w:val="0"/>
                <w:i w:val="0"/>
                <w:iCs w:val="0"/>
                <w:caps w:val="0"/>
                <w:smallCaps w:val="0"/>
                <w:outline w:val="0"/>
                <w:color w:val="000000"/>
                <w:w w:val="100"/>
                <w:kern w:val="0"/>
                <w:sz w:val="16"/>
                <w:szCs w:val="16"/>
                <w:u w:val="none"/>
                <w:rtl w:val="0"/>
              </w:rPr>
              <w:t xml:space="preserve"> </w:t>
            </w:r>
          </w:p>
        </w:tc>
        <w:tc>
          <w:tcPr>
            <w:tcW w:w="4883" w:type="dxa"/>
            <w:tcBorders>
              <w:top w:val="nil"/>
              <w:left w:val="nil"/>
              <w:bottom w:val="nil"/>
              <w:right w:val="nil"/>
            </w:tcBorders>
            <w:noWrap w:val="0"/>
            <w:tcMar>
              <w:top w:w="10" w:type="dxa"/>
              <w:left w:w="10" w:type="dxa"/>
              <w:bottom w:w="10" w:type="dxa"/>
              <w:right w:w="10" w:type="dxa"/>
            </w:tcMar>
            <w:vAlign w:val="top"/>
            <w:hideMark/>
          </w:tcPr>
          <w:p>
            <w:pPr>
              <w:widowControl w:val="0"/>
              <w:spacing w:before="8" w:after="0"/>
              <w:rPr>
                <w:rFonts w:ascii="Times New Roman" w:eastAsia="Times New Roman" w:hAnsi="Times New Roman" w:cs="Times New Roman"/>
                <w:b w:val="0"/>
                <w:bCs w:val="0"/>
                <w:i w:val="0"/>
                <w:iCs w:val="0"/>
                <w:smallCaps w:val="0"/>
                <w:color w:val="000000"/>
                <w:sz w:val="16"/>
                <w:szCs w:val="16"/>
              </w:rPr>
            </w:pPr>
            <w:r>
              <w:rPr>
                <w:rFonts w:ascii="Arial" w:eastAsia="Arial" w:hAnsi="Arial" w:cs="Arial"/>
                <w:b w:val="0"/>
                <w:bCs w:val="0"/>
                <w:i w:val="0"/>
                <w:iCs w:val="0"/>
                <w:caps w:val="0"/>
                <w:smallCaps w:val="0"/>
                <w:outline w:val="0"/>
                <w:color w:val="000000"/>
                <w:w w:val="100"/>
                <w:kern w:val="0"/>
                <w:sz w:val="16"/>
                <w:szCs w:val="16"/>
                <w:u w:val="none"/>
                <w:rtl w:val="0"/>
              </w:rPr>
              <w:t xml:space="preserve"> </w:t>
            </w:r>
          </w:p>
          <w:p>
            <w:pPr>
              <w:widowControl w:val="0"/>
              <w:spacing w:before="0" w:after="0" w:line="176" w:lineRule="atLeas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7"/>
                <w:szCs w:val="17"/>
                <w:u w:val="none"/>
                <w:rtl w:val="0"/>
              </w:rPr>
              <w:t xml:space="preserve">Date: </w:t>
            </w:r>
            <w:r>
              <w:rPr>
                <w:rFonts w:ascii="Arial" w:eastAsia="Arial" w:hAnsi="Arial" w:cs="Arial"/>
                <w:b w:val="0"/>
                <w:bCs w:val="0"/>
                <w:i w:val="0"/>
                <w:iCs w:val="0"/>
                <w:caps w:val="0"/>
                <w:smallCaps w:val="0"/>
                <w:outline w:val="0"/>
                <w:color w:val="000000"/>
                <w:spacing w:val="-13"/>
                <w:w w:val="100"/>
                <w:kern w:val="0"/>
                <w:sz w:val="17"/>
                <w:szCs w:val="17"/>
                <w:u w:val="none"/>
                <w:rtl w:val="0"/>
              </w:rPr>
              <w:t xml:space="preserve"> </w:t>
            </w:r>
            <w:r>
              <w:rPr>
                <w:rFonts w:ascii="Arial" w:eastAsia="Arial" w:hAnsi="Arial" w:cs="Arial"/>
                <w:b w:val="0"/>
                <w:bCs w:val="0"/>
                <w:i w:val="0"/>
                <w:iCs w:val="0"/>
                <w:caps w:val="0"/>
                <w:smallCaps w:val="0"/>
                <w:outline w:val="0"/>
                <w:color w:val="000000"/>
                <w:w w:val="100"/>
                <w:kern w:val="0"/>
                <w:sz w:val="17"/>
                <w:szCs w:val="17"/>
                <w:u w:val="single" w:color="000000"/>
                <w:rtl w:val="0"/>
              </w:rPr>
              <w:t xml:space="preserve">                                           </w:t>
            </w:r>
          </w:p>
        </w:tc>
      </w:tr>
    </w:tbl>
    <w:p>
      <w:pPr>
        <w:sectPr w:rsidSect="00B71919">
          <w:headerReference w:type="default" r:id="rId8"/>
          <w:footerReference w:type="default" r:id="rId9"/>
          <w:headerReference w:type="first" r:id="rId10"/>
          <w:footerReference w:type="first" r:id="rId11"/>
          <w:pgSz w:w="11906" w:h="16838" w:code="9"/>
          <w:pgMar w:top="1440" w:right="1440" w:bottom="1440" w:left="1440" w:header="709" w:footer="709" w:gutter="0"/>
          <w:cols w:space="708"/>
          <w:docGrid w:linePitch="360"/>
        </w:sectPr>
      </w:pP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 w:val="20"/>
          <w:szCs w:val="20"/>
        </w:rPr>
      </w:pPr>
      <w:r>
        <w:rPr>
          <w:rFonts w:ascii="Arial" w:eastAsia="Arial" w:hAnsi="Arial" w:cs="Arial"/>
          <w:b/>
          <w:bCs/>
          <w:i w:val="0"/>
          <w:caps w:val="0"/>
          <w:outline w:val="0"/>
          <w:color w:val="000000"/>
          <w:w w:val="100"/>
          <w:kern w:val="0"/>
          <w:sz w:val="20"/>
          <w:szCs w:val="20"/>
          <w:u w:val="none"/>
          <w:rtl w:val="0"/>
        </w:rPr>
        <w:t>ATTACHMENT 1 TO THE ADDENDUM: DATA PROTECTION SCHEDULE</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 xml:space="preserve">This Schedule is part of the Addendum and of the Agreement and details the characteristics of the Customer Personal Data Processing </w:t>
      </w:r>
    </w:p>
    <w:p>
      <w:pPr>
        <w:pStyle w:val="ListParagraph"/>
        <w:keepNext w:val="0"/>
        <w:keepLines w:val="0"/>
        <w:pageBreakBefore w:val="0"/>
        <w:framePr w:lines="0"/>
        <w:widowControl/>
        <w:numPr>
          <w:ilvl w:val="0"/>
          <w:numId w:val="16"/>
        </w:numPr>
        <w:suppressLineNumbers w:val="0"/>
        <w:tabs>
          <w:tab w:val="num" w:pos="0"/>
        </w:tabs>
        <w:suppressAutoHyphens w:val="0"/>
        <w:bidi w:val="0"/>
        <w:spacing w:before="0" w:beforeAutospacing="0" w:after="240" w:afterAutospacing="0" w:line="240" w:lineRule="auto"/>
        <w:ind w:left="72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bCs/>
          <w:i w:val="0"/>
          <w:caps w:val="0"/>
          <w:outline w:val="0"/>
          <w:color w:val="000000"/>
          <w:w w:val="100"/>
          <w:kern w:val="0"/>
          <w:sz w:val="20"/>
          <w:szCs w:val="20"/>
          <w:u w:val="none"/>
          <w:rtl w:val="0"/>
        </w:rPr>
        <w:t>Description of processing</w:t>
      </w:r>
    </w:p>
    <w:tbl>
      <w:tblPr>
        <w:tblStyle w:val="TableNormal"/>
        <w:tblInd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97"/>
        <w:gridCol w:w="2225"/>
        <w:gridCol w:w="2059"/>
        <w:gridCol w:w="2916"/>
      </w:tblGrid>
      <w:tr>
        <w:tblPrEx>
          <w:tblInd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cantSplit w:val="0"/>
          <w:tblHeader w:val="0"/>
        </w:trPr>
        <w:tc>
          <w:tcPr>
            <w:tcW w:w="1540" w:type="dxa"/>
            <w:tcBorders>
              <w:bottom w:val="single" w:sz="6" w:space="0" w:color="808080"/>
              <w:right w:val="single" w:sz="6" w:space="0" w:color="808080"/>
            </w:tcBorders>
            <w:noWrap w:val="0"/>
            <w:tcMar>
              <w:top w:w="8" w:type="dxa"/>
              <w:left w:w="108" w:type="dxa"/>
              <w:bottom w:w="8" w:type="dxa"/>
              <w:right w:w="108" w:type="dxa"/>
            </w:tcMar>
            <w:vAlign w:val="top"/>
            <w:hideMark/>
          </w:tcPr>
          <w:p>
            <w:pPr>
              <w:spacing w:before="0" w:after="0"/>
              <w:jc w:val="both"/>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Type of data</w:t>
            </w:r>
          </w:p>
        </w:tc>
        <w:tc>
          <w:tcPr>
            <w:tcW w:w="1965" w:type="dxa"/>
            <w:tcBorders>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jc w:val="both"/>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Categories of data subject</w:t>
            </w:r>
          </w:p>
        </w:tc>
        <w:tc>
          <w:tcPr>
            <w:tcW w:w="1800" w:type="dxa"/>
            <w:tcBorders>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jc w:val="both"/>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Purpose of processing </w:t>
            </w:r>
          </w:p>
        </w:tc>
        <w:tc>
          <w:tcPr>
            <w:tcW w:w="2700" w:type="dxa"/>
            <w:tcBorders>
              <w:left w:val="single" w:sz="6" w:space="0" w:color="808080"/>
              <w:bottom w:val="single" w:sz="6" w:space="0" w:color="808080"/>
            </w:tcBorders>
            <w:noWrap w:val="0"/>
            <w:tcMar>
              <w:top w:w="8" w:type="dxa"/>
              <w:left w:w="108" w:type="dxa"/>
              <w:bottom w:w="8" w:type="dxa"/>
              <w:right w:w="108" w:type="dxa"/>
            </w:tcMar>
            <w:vAlign w:val="top"/>
            <w:hideMark/>
          </w:tcPr>
          <w:p>
            <w:pPr>
              <w:spacing w:before="0" w:after="0"/>
              <w:jc w:val="both"/>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Duration of processing</w:t>
            </w:r>
          </w:p>
        </w:tc>
      </w:tr>
      <w:tr>
        <w:tblPrEx>
          <w:tblInd w:w="0" w:type="dxa"/>
          <w:tblCellMar>
            <w:top w:w="0" w:type="dxa"/>
            <w:left w:w="0" w:type="dxa"/>
            <w:bottom w:w="0" w:type="dxa"/>
            <w:right w:w="0" w:type="dxa"/>
          </w:tblCellMar>
        </w:tblPrEx>
        <w:tc>
          <w:tcPr>
            <w:tcW w:w="1540" w:type="dxa"/>
            <w:tcBorders>
              <w:top w:val="single" w:sz="6" w:space="0" w:color="808080"/>
              <w:left w:val="single" w:sz="6" w:space="0" w:color="000000"/>
              <w:bottom w:val="single" w:sz="6" w:space="0" w:color="000000"/>
              <w:right w:val="single" w:sz="6" w:space="0" w:color="808080"/>
            </w:tcBorders>
            <w:noWrap w:val="0"/>
            <w:tcMar>
              <w:top w:w="8" w:type="dxa"/>
              <w:left w:w="108" w:type="dxa"/>
              <w:bottom w:w="8" w:type="dxa"/>
              <w:right w:w="108" w:type="dxa"/>
            </w:tcMar>
            <w:vAlign w:val="top"/>
            <w:hideMark/>
          </w:tcPr>
          <w:p>
            <w:pPr>
              <w:spacing w:before="0" w:after="0"/>
              <w:ind w:firstLine="23"/>
              <w:jc w:val="both"/>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Name, email address, phone number, title, company address </w:t>
            </w:r>
          </w:p>
        </w:tc>
        <w:tc>
          <w:tcPr>
            <w:tcW w:w="1965" w:type="dxa"/>
            <w:tcBorders>
              <w:top w:val="single" w:sz="6" w:space="0" w:color="808080"/>
              <w:left w:val="single" w:sz="6" w:space="0" w:color="808080"/>
              <w:bottom w:val="single" w:sz="6" w:space="0" w:color="000000"/>
              <w:right w:val="single" w:sz="6" w:space="0" w:color="808080"/>
            </w:tcBorders>
            <w:noWrap w:val="0"/>
            <w:tcMar>
              <w:top w:w="8" w:type="dxa"/>
              <w:left w:w="108" w:type="dxa"/>
              <w:bottom w:w="8" w:type="dxa"/>
              <w:right w:w="108" w:type="dxa"/>
            </w:tcMar>
            <w:vAlign w:val="top"/>
            <w:hideMark/>
          </w:tcPr>
          <w:p>
            <w:pPr>
              <w:spacing w:before="0" w:after="0"/>
              <w:jc w:val="both"/>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Customer’s employees,  contractors, vendors and/or customers</w:t>
            </w:r>
          </w:p>
        </w:tc>
        <w:tc>
          <w:tcPr>
            <w:tcW w:w="1800" w:type="dxa"/>
            <w:tcBorders>
              <w:top w:val="single" w:sz="6" w:space="0" w:color="808080"/>
              <w:left w:val="single" w:sz="6" w:space="0" w:color="808080"/>
              <w:bottom w:val="single" w:sz="6" w:space="0" w:color="000000"/>
              <w:right w:val="single" w:sz="6" w:space="0" w:color="808080"/>
            </w:tcBorders>
            <w:noWrap w:val="0"/>
            <w:tcMar>
              <w:top w:w="8" w:type="dxa"/>
              <w:left w:w="108" w:type="dxa"/>
              <w:bottom w:w="8" w:type="dxa"/>
              <w:right w:w="108" w:type="dxa"/>
            </w:tcMar>
            <w:vAlign w:val="top"/>
            <w:hideMark/>
          </w:tcPr>
          <w:p>
            <w:pPr>
              <w:spacing w:before="0" w:after="0"/>
              <w:jc w:val="both"/>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Provision of online cloud services under the Agreement</w:t>
            </w:r>
          </w:p>
        </w:tc>
        <w:tc>
          <w:tcPr>
            <w:tcW w:w="2700" w:type="dxa"/>
            <w:tcBorders>
              <w:top w:val="single" w:sz="6" w:space="0" w:color="808080"/>
              <w:left w:val="single" w:sz="6" w:space="0" w:color="80808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both"/>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Duration of the processing shall correspond to the duration of the Agreement</w:t>
            </w:r>
          </w:p>
        </w:tc>
      </w:tr>
    </w:tbl>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Calibri" w:eastAsia="Calibri" w:hAnsi="Calibri" w:cs="Calibri"/>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16"/>
        </w:numPr>
        <w:suppressLineNumbers w:val="0"/>
        <w:suppressAutoHyphens w:val="0"/>
        <w:bidi w:val="0"/>
        <w:spacing w:before="0" w:beforeAutospacing="0" w:after="240" w:afterAutospacing="0" w:line="240" w:lineRule="auto"/>
        <w:ind w:left="72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bCs/>
          <w:i w:val="0"/>
          <w:caps w:val="0"/>
          <w:outline w:val="0"/>
          <w:color w:val="000000"/>
          <w:w w:val="100"/>
          <w:kern w:val="0"/>
          <w:sz w:val="20"/>
          <w:szCs w:val="20"/>
          <w:u w:val="none"/>
          <w:rtl w:val="0"/>
        </w:rPr>
        <w:t>Subprocessors</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0" w:firstLine="0" w:leftChars="0" w:rightChars="0" w:firstLineChars="0"/>
        <w:contextualSpacing/>
        <w:jc w:val="both"/>
        <w:outlineLvl w:val="9"/>
        <w:rPr>
          <w:rFonts w:ascii="Times New Roman" w:eastAsia="Times New Roman" w:hAnsi="Times New Roman" w:cs="Times New Roman"/>
          <w:sz w:val="20"/>
          <w:szCs w:val="20"/>
        </w:rPr>
      </w:pPr>
      <w:r>
        <w:rPr>
          <w:rFonts w:ascii="Calibri" w:eastAsia="Calibri" w:hAnsi="Calibri" w:cs="Calibri"/>
          <w:b/>
          <w:bCs/>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0" w:firstLine="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bCs/>
          <w:i w:val="0"/>
          <w:caps w:val="0"/>
          <w:outline w:val="0"/>
          <w:color w:val="000000"/>
          <w:w w:val="100"/>
          <w:kern w:val="0"/>
          <w:sz w:val="20"/>
          <w:szCs w:val="20"/>
          <w:u w:val="none"/>
          <w:rtl w:val="0"/>
        </w:rPr>
        <w:t>For All Customers</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0" w:firstLine="0" w:leftChars="0" w:rightChars="0" w:firstLineChars="0"/>
        <w:contextualSpacing/>
        <w:jc w:val="both"/>
        <w:outlineLvl w:val="9"/>
        <w:rPr>
          <w:rFonts w:ascii="Times New Roman" w:eastAsia="Times New Roman" w:hAnsi="Times New Roman" w:cs="Times New Roman"/>
          <w:sz w:val="20"/>
          <w:szCs w:val="20"/>
        </w:rPr>
      </w:pPr>
      <w:r>
        <w:rPr>
          <w:rFonts w:ascii="Calibri" w:eastAsia="Calibri" w:hAnsi="Calibri" w:cs="Calibri"/>
          <w:b/>
          <w:bCs/>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21"/>
        </w:numPr>
        <w:suppressLineNumbers w:val="0"/>
        <w:tabs>
          <w:tab w:val="num" w:pos="0"/>
        </w:tabs>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Affiliates of Parley Pro (support and maintenance)</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Intercom (chat-based customer support)</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Mandrill by The Rocket Science Group (email notifications)</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Amazon Web Services (hosting)</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Sentry (application monitoring)</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Amplitude (application analytics</w:t>
      </w:r>
      <w:r>
        <w:rPr>
          <w:rFonts w:ascii="Arial" w:eastAsia="Arial" w:hAnsi="Arial" w:cs="Arial"/>
          <w:b/>
          <w:bCs/>
          <w:i/>
          <w:iCs/>
          <w:caps w:val="0"/>
          <w:outline w:val="0"/>
          <w:color w:val="000000"/>
          <w:w w:val="100"/>
          <w:kern w:val="0"/>
          <w:sz w:val="20"/>
          <w:szCs w:val="20"/>
          <w:u w:val="none"/>
          <w:rtl w:val="0"/>
        </w:rPr>
        <w:t>)</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 xml:space="preserve">Amazon Web Services (for purposes of providing infrastructure for Parley Pro’s application) </w:t>
      </w:r>
    </w:p>
    <w:p>
      <w:pPr>
        <w:pStyle w:val="ListParagraph"/>
        <w:keepNext w:val="0"/>
        <w:keepLines w:val="0"/>
        <w:pageBreakBefore w:val="0"/>
        <w:framePr w:lines="0"/>
        <w:widowControl/>
        <w:numPr>
          <w:ilvl w:val="1"/>
          <w:numId w:val="21"/>
        </w:numPr>
        <w:suppressLineNumbers w:val="0"/>
        <w:tabs>
          <w:tab w:val="num" w:pos="0"/>
        </w:tabs>
        <w:suppressAutoHyphens w:val="0"/>
        <w:bidi w:val="0"/>
        <w:spacing w:before="0" w:beforeAutospacing="0" w:after="240" w:afterAutospacing="0" w:line="276" w:lineRule="auto"/>
        <w:ind w:left="180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US/Worldwide based customers we use AWS deployment in AWS us-west-2 region based in Oregon</w:t>
      </w:r>
    </w:p>
    <w:p>
      <w:pPr>
        <w:pStyle w:val="ListParagraph"/>
        <w:keepNext w:val="0"/>
        <w:keepLines w:val="0"/>
        <w:pageBreakBefore w:val="0"/>
        <w:framePr w:lines="0"/>
        <w:widowControl/>
        <w:numPr>
          <w:ilvl w:val="1"/>
          <w:numId w:val="21"/>
        </w:numPr>
        <w:suppressLineNumbers w:val="0"/>
        <w:suppressAutoHyphens w:val="0"/>
        <w:bidi w:val="0"/>
        <w:spacing w:before="0" w:beforeAutospacing="0" w:after="240" w:afterAutospacing="0" w:line="240" w:lineRule="auto"/>
        <w:ind w:left="1800" w:right="0" w:hanging="360" w:leftChars="0" w:rightChars="0" w:firstLineChars="0"/>
        <w:contextualSpacing/>
        <w:jc w:val="left"/>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For the EU-based customers we use AWS deployment in AWS eu-central-1 region based in Frankfurt, Germany</w:t>
      </w:r>
    </w:p>
    <w:p>
      <w:pPr>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Times New Roman" w:eastAsia="Times New Roman" w:hAnsi="Times New Roman" w:cs="Times New Roman"/>
          <w:sz w:val="20"/>
          <w:szCs w:val="20"/>
        </w:rPr>
      </w:pPr>
      <w:r>
        <w:rPr>
          <w:rFonts w:ascii="Arial" w:eastAsia="Arial" w:hAnsi="Arial" w:cs="Arial"/>
          <w:b/>
          <w:bCs/>
          <w:i w:val="0"/>
          <w:caps w:val="0"/>
          <w:outline w:val="0"/>
          <w:color w:val="000000"/>
          <w:w w:val="100"/>
          <w:kern w:val="0"/>
          <w:sz w:val="20"/>
          <w:szCs w:val="20"/>
          <w:u w:val="none"/>
          <w:rtl w:val="0"/>
        </w:rPr>
        <w:t>For Customers Opting for Add-Ons</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DocuSign (eSignature)</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Adobe Sign (eSignature)</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Salesforce (Customer Relationship Management platform)</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240" w:afterAutospacing="0" w:line="276" w:lineRule="auto"/>
        <w:ind w:left="1440" w:right="0" w:hanging="360" w:leftChars="0" w:rightChars="0" w:firstLineChars="0"/>
        <w:contextualSpacing/>
        <w:jc w:val="both"/>
        <w:outlineLvl w:val="9"/>
        <w:rPr>
          <w:rFonts w:ascii="Times New Roman" w:eastAsia="Times New Roman" w:hAnsi="Times New Roman" w:cs="Times New Roman"/>
          <w:sz w:val="20"/>
          <w:szCs w:val="20"/>
        </w:rPr>
      </w:pPr>
      <w:r>
        <w:rPr>
          <w:rFonts w:ascii="Arial" w:eastAsia="Arial" w:hAnsi="Arial" w:cs="Arial"/>
          <w:b w:val="0"/>
          <w:i/>
          <w:iCs/>
          <w:caps w:val="0"/>
          <w:outline w:val="0"/>
          <w:color w:val="000000"/>
          <w:w w:val="100"/>
          <w:kern w:val="0"/>
          <w:sz w:val="20"/>
          <w:szCs w:val="20"/>
          <w:u w:val="none"/>
          <w:rtl w:val="0"/>
        </w:rPr>
        <w:t>Box.com (Cloud Storage)</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Arial" w:eastAsia="Arial" w:hAnsi="Arial" w:cs="Arial"/>
          <w:b w:val="0"/>
          <w:i w:val="0"/>
          <w:caps w:val="0"/>
          <w:outline w:val="0"/>
          <w:color w:val="000000"/>
          <w:w w:val="100"/>
          <w:kern w:val="0"/>
          <w:sz w:val="20"/>
          <w:szCs w:val="20"/>
          <w:u w:val="none"/>
          <w:rtl w:val="0"/>
        </w:rPr>
        <w:t xml:space="preserve">It is understood that Parley Pro may change, substitute or add subprocessors in accordance with Section 4 of the Addendum. </w:t>
      </w:r>
    </w:p>
    <w:sectPr w:rsidSect="00B7191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4763" w:rsidP="00B71919" w14:paraId="07118C34" w14:textId="77777777">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D28ED" w:rsidP="00B71919" w14:paraId="5DCBAB2B" w14:textId="77777777">
    <w:pPr>
      <w:pStyle w:val="Footer"/>
      <w:jc w:val="left"/>
    </w:pPr>
  </w:p>
  <w:p w:rsidR="00D46C3D" w:rsidRPr="00B71919" w:rsidP="00D46C3D" w14:paraId="69728296" w14:textId="77777777">
    <w:pPr>
      <w:pStyle w:val="Footer"/>
      <w:spacing w:before="120"/>
      <w:jc w:val="right"/>
    </w:pPr>
    <w:r w:rsidRPr="00D46C3D">
      <w:rPr>
        <w:sz w:val="16"/>
      </w:rPr>
      <w:fldChar w:fldCharType="begin"/>
    </w:r>
    <w:r w:rsidRPr="00D46C3D">
      <w:rPr>
        <w:sz w:val="16"/>
      </w:rPr>
      <w:instrText xml:space="preserve"> DOCPROPERTY BBDocRef \* MERGEFORMAT </w:instrText>
    </w:r>
    <w:r w:rsidRPr="00D46C3D">
      <w:rPr>
        <w:sz w:val="16"/>
      </w:rPr>
      <w:fldChar w:fldCharType="separate"/>
    </w:r>
    <w:r w:rsidRPr="00D46C3D">
      <w:rPr>
        <w:b/>
        <w:sz w:val="16"/>
      </w:rPr>
      <w:t>Error! Unknown document property name.</w:t>
    </w:r>
    <w:r w:rsidRPr="00D46C3D">
      <w:rPr>
        <w:sz w:val="16"/>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E25F6" w:rsidRPr="004E25F6" w:rsidP="004E25F6" w14:paraId="1263C2AE" w14:textId="425A7F24">
    <w:pPr>
      <w:pStyle w:val="Header"/>
      <w:jc w:val="center"/>
      <w:rPr>
        <w:b/>
        <w:sz w:val="24"/>
        <w:szCs w:val="24"/>
      </w:rPr>
    </w:pPr>
    <w:r w:rsidRPr="004E25F6">
      <w:rPr>
        <w:rFonts w:ascii="Calibri" w:eastAsia="Times New Roman" w:hAnsi="Calibri" w:cs="Calibri"/>
        <w:b/>
        <w:sz w:val="24"/>
        <w:szCs w:val="24"/>
        <w:lang w:val="en-US" w:eastAsia="zh-CN"/>
      </w:rPr>
      <w:t>Data Processing Addendum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905AE" w14:paraId="1E9DC500" w14:textId="640D7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bullet="t">
        <v:imagedata r:id="rId1" o:title=""/>
      </v:shape>
    </w:pict>
  </w:numPicBullet>
  <w:abstractNum w:abstractNumId="0">
    <w:nsid w:val="00000402"/>
    <w:multiLevelType w:val="multilevel"/>
    <w:tmpl w:val="00000885"/>
    <w:lvl w:ilvl="0">
      <w:start w:val="1"/>
      <w:numFmt w:val="decimal"/>
      <w:lvlText w:val="%1."/>
      <w:lvlJc w:val="left"/>
      <w:pPr>
        <w:ind w:left="480" w:hanging="361"/>
      </w:pPr>
      <w:rPr>
        <w:rFonts w:ascii="Arial" w:hAnsi="Arial" w:cs="Arial"/>
        <w:b/>
        <w:bCs/>
        <w:spacing w:val="-2"/>
        <w:w w:val="100"/>
        <w:sz w:val="17"/>
        <w:szCs w:val="17"/>
      </w:rPr>
    </w:lvl>
    <w:lvl w:ilvl="1">
      <w:start w:val="1"/>
      <w:numFmt w:val="decimal"/>
      <w:lvlText w:val="%1.%2."/>
      <w:lvlJc w:val="left"/>
      <w:pPr>
        <w:ind w:left="480" w:hanging="361"/>
      </w:pPr>
      <w:rPr>
        <w:rFonts w:ascii="Arial" w:hAnsi="Arial" w:cs="Arial"/>
        <w:b w:val="0"/>
        <w:bCs w:val="0"/>
        <w:spacing w:val="-2"/>
        <w:w w:val="100"/>
        <w:sz w:val="17"/>
        <w:szCs w:val="17"/>
      </w:rPr>
    </w:lvl>
    <w:lvl w:ilvl="2">
      <w:start w:val="0"/>
      <w:numFmt w:val="bullet"/>
      <w:lvlText w:val="•"/>
      <w:lvlJc w:val="left"/>
      <w:pPr>
        <w:ind w:left="272" w:hanging="361"/>
      </w:pPr>
    </w:lvl>
    <w:lvl w:ilvl="3">
      <w:start w:val="0"/>
      <w:numFmt w:val="bullet"/>
      <w:lvlText w:val="•"/>
      <w:lvlJc w:val="left"/>
      <w:pPr>
        <w:ind w:left="169" w:hanging="361"/>
      </w:pPr>
    </w:lvl>
    <w:lvl w:ilvl="4">
      <w:start w:val="0"/>
      <w:numFmt w:val="bullet"/>
      <w:lvlText w:val="•"/>
      <w:lvlJc w:val="left"/>
      <w:pPr>
        <w:ind w:left="65" w:hanging="361"/>
      </w:pPr>
    </w:lvl>
    <w:lvl w:ilvl="5">
      <w:start w:val="0"/>
      <w:numFmt w:val="bullet"/>
      <w:lvlText w:val="•"/>
      <w:lvlJc w:val="left"/>
      <w:pPr>
        <w:ind w:hanging="361"/>
      </w:pPr>
    </w:lvl>
    <w:lvl w:ilvl="6">
      <w:start w:val="0"/>
      <w:numFmt w:val="bullet"/>
      <w:lvlText w:val="•"/>
      <w:lvlJc w:val="left"/>
      <w:pPr>
        <w:ind w:hanging="361"/>
      </w:pPr>
    </w:lvl>
    <w:lvl w:ilvl="7">
      <w:start w:val="0"/>
      <w:numFmt w:val="bullet"/>
      <w:lvlText w:val="•"/>
      <w:lvlJc w:val="left"/>
      <w:pPr>
        <w:ind w:hanging="361"/>
      </w:pPr>
    </w:lvl>
    <w:lvl w:ilvl="8">
      <w:start w:val="0"/>
      <w:numFmt w:val="bullet"/>
      <w:lvlText w:val="•"/>
      <w:lvlJc w:val="left"/>
      <w:pPr>
        <w:ind w:hanging="361"/>
      </w:pPr>
    </w:lvl>
  </w:abstractNum>
  <w:abstractNum w:abstractNumId="1">
    <w:nsid w:val="00000404"/>
    <w:multiLevelType w:val="multilevel"/>
    <w:tmpl w:val="00000887"/>
    <w:lvl w:ilvl="0">
      <w:start w:val="8"/>
      <w:numFmt w:val="decimal"/>
      <w:lvlText w:val="%1"/>
      <w:lvlJc w:val="left"/>
      <w:pPr>
        <w:ind w:left="480" w:hanging="361"/>
      </w:pPr>
    </w:lvl>
    <w:lvl w:ilvl="1">
      <w:start w:val="1"/>
      <w:numFmt w:val="decimal"/>
      <w:lvlText w:val="%1.%2"/>
      <w:lvlJc w:val="left"/>
      <w:pPr>
        <w:ind w:left="480" w:hanging="361"/>
      </w:pPr>
      <w:rPr>
        <w:rFonts w:ascii="Arial" w:hAnsi="Arial" w:cs="Arial"/>
        <w:b w:val="0"/>
        <w:bCs w:val="0"/>
        <w:spacing w:val="-2"/>
        <w:w w:val="100"/>
        <w:sz w:val="17"/>
        <w:szCs w:val="17"/>
      </w:rPr>
    </w:lvl>
    <w:lvl w:ilvl="2">
      <w:start w:val="0"/>
      <w:numFmt w:val="bullet"/>
      <w:lvlText w:val="•"/>
      <w:lvlJc w:val="left"/>
      <w:pPr>
        <w:ind w:left="1471" w:hanging="361"/>
      </w:pPr>
    </w:lvl>
    <w:lvl w:ilvl="3">
      <w:start w:val="0"/>
      <w:numFmt w:val="bullet"/>
      <w:lvlText w:val="•"/>
      <w:lvlJc w:val="left"/>
      <w:pPr>
        <w:ind w:left="1967" w:hanging="361"/>
      </w:pPr>
    </w:lvl>
    <w:lvl w:ilvl="4">
      <w:start w:val="0"/>
      <w:numFmt w:val="bullet"/>
      <w:lvlText w:val="•"/>
      <w:lvlJc w:val="left"/>
      <w:pPr>
        <w:ind w:left="2463" w:hanging="361"/>
      </w:pPr>
    </w:lvl>
    <w:lvl w:ilvl="5">
      <w:start w:val="0"/>
      <w:numFmt w:val="bullet"/>
      <w:lvlText w:val="•"/>
      <w:lvlJc w:val="left"/>
      <w:pPr>
        <w:ind w:left="2959" w:hanging="361"/>
      </w:pPr>
    </w:lvl>
    <w:lvl w:ilvl="6">
      <w:start w:val="0"/>
      <w:numFmt w:val="bullet"/>
      <w:lvlText w:val="•"/>
      <w:lvlJc w:val="left"/>
      <w:pPr>
        <w:ind w:left="3455" w:hanging="361"/>
      </w:pPr>
    </w:lvl>
    <w:lvl w:ilvl="7">
      <w:start w:val="0"/>
      <w:numFmt w:val="bullet"/>
      <w:lvlText w:val="•"/>
      <w:lvlJc w:val="left"/>
      <w:pPr>
        <w:ind w:left="3951" w:hanging="361"/>
      </w:pPr>
    </w:lvl>
    <w:lvl w:ilvl="8">
      <w:start w:val="0"/>
      <w:numFmt w:val="bullet"/>
      <w:lvlText w:val="•"/>
      <w:lvlJc w:val="left"/>
      <w:pPr>
        <w:ind w:left="4447" w:hanging="361"/>
      </w:pPr>
    </w:lvl>
  </w:abstractNum>
  <w:abstractNum w:abstractNumId="2">
    <w:nsid w:val="00F56C7B"/>
    <w:multiLevelType w:val="hybridMultilevel"/>
    <w:tmpl w:val="D72A2694"/>
    <w:lvl w:ilvl="0">
      <w:start w:val="1"/>
      <w:numFmt w:val="lowerLetter"/>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03D9466E"/>
    <w:multiLevelType w:val="multilevel"/>
    <w:tmpl w:val="22B85D1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lowerLetter"/>
      <w:lvlText w:val="(%7)"/>
      <w:lvlJc w:val="left"/>
      <w:pPr>
        <w:tabs>
          <w:tab w:val="num" w:pos="4321"/>
        </w:tabs>
        <w:ind w:left="4321" w:hanging="721"/>
      </w:pPr>
      <w:rPr>
        <w:rFonts w:hint="default"/>
      </w:rPr>
    </w:lvl>
    <w:lvl w:ilvl="7">
      <w:start w:val="1"/>
      <w:numFmt w:val="lowerRoman"/>
      <w:lvlText w:val="(%8)"/>
      <w:lvlJc w:val="left"/>
      <w:pPr>
        <w:tabs>
          <w:tab w:val="num" w:pos="5041"/>
        </w:tabs>
        <w:ind w:left="5041" w:hanging="720"/>
      </w:pPr>
      <w:rPr>
        <w:rFonts w:hint="default"/>
      </w:rPr>
    </w:lvl>
    <w:lvl w:ilvl="8">
      <w:start w:val="1"/>
      <w:numFmt w:val="lowerRoman"/>
      <w:lvlText w:val="%9."/>
      <w:lvlJc w:val="left"/>
      <w:pPr>
        <w:tabs>
          <w:tab w:val="num" w:pos="5761"/>
        </w:tabs>
        <w:ind w:left="5761" w:hanging="720"/>
      </w:pPr>
      <w:rPr>
        <w:rFonts w:hint="default"/>
      </w:rPr>
    </w:lvl>
  </w:abstractNum>
  <w:abstractNum w:abstractNumId="4">
    <w:nsid w:val="208D7C88"/>
    <w:multiLevelType w:val="hybridMultilevel"/>
    <w:tmpl w:val="3F702010"/>
    <w:lvl w:ilvl="0">
      <w:start w:val="1"/>
      <w:numFmt w:val="bullet"/>
      <w:lvlText w:val=""/>
      <w:lvlJc w:val="left"/>
      <w:pPr>
        <w:tabs>
          <w:tab w:val="num" w:pos="0"/>
        </w:tabs>
        <w:ind w:left="720" w:hanging="360"/>
      </w:pPr>
      <w:rPr>
        <w:rFonts w:ascii="Symbol" w:eastAsia="Symbol" w:hAnsi="Symbol" w:cs="Symbol" w:hint="default"/>
        <w:b w:val="0"/>
        <w:i w:val="0"/>
        <w:caps w:val="0"/>
        <w:outline w:val="0"/>
        <w:color w:val="000000"/>
        <w:w w:val="100"/>
        <w:kern w:val="0"/>
        <w:sz w:val="20"/>
        <w:u w:val="none"/>
        <w:rtl w:val="0"/>
        <w:lang w:val="en-US"/>
      </w:rPr>
    </w:lvl>
    <w:lvl w:ilvl="1">
      <w:start w:val="1"/>
      <w:numFmt w:val="bullet"/>
      <w:lvlText w:val="o"/>
      <w:lvlJc w:val="left"/>
      <w:pPr>
        <w:tabs>
          <w:tab w:val="num" w:pos="0"/>
        </w:tabs>
        <w:ind w:left="1440" w:hanging="360"/>
      </w:pPr>
      <w:rPr>
        <w:rFonts w:ascii="Courier New" w:eastAsia="Courier New" w:hAnsi="Courier New" w:cs="Courier New" w:hint="default"/>
        <w:b w:val="0"/>
        <w:i w:val="0"/>
        <w:caps w:val="0"/>
        <w:outline w:val="0"/>
        <w:color w:val="000000"/>
        <w:w w:val="100"/>
        <w:kern w:val="0"/>
        <w:sz w:val="20"/>
        <w:u w:val="none"/>
        <w:rtl w:val="0"/>
        <w:lang w:val="en-US"/>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5DD37A9"/>
    <w:multiLevelType w:val="hybridMultilevel"/>
    <w:tmpl w:val="3DFA2912"/>
    <w:lvl w:ilvl="0">
      <w:start w:val="1"/>
      <w:numFmt w:val="decimal"/>
      <w:lvlText w:val="%1."/>
      <w:lvlJc w:val="left"/>
      <w:pPr>
        <w:tabs>
          <w:tab w:val="num" w:pos="0"/>
        </w:tabs>
        <w:ind w:left="720" w:hanging="360"/>
      </w:pPr>
      <w:rPr>
        <w:rFonts w:ascii="Calibri" w:eastAsia="Calibri" w:hAnsi="Calibri" w:cs="Calibri"/>
        <w:b w:val="0"/>
        <w:i w:val="0"/>
        <w:caps w:val="0"/>
        <w:outline w:val="0"/>
        <w:color w:val="000000"/>
        <w:w w:val="100"/>
        <w:kern w:val="0"/>
        <w:sz w:val="20"/>
        <w:u w:val="none"/>
        <w:rtl w:val="0"/>
        <w:lang w:val="en-G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F6B5EA9"/>
    <w:multiLevelType w:val="multilevel"/>
    <w:tmpl w:val="77080A38"/>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622"/>
        </w:tabs>
        <w:ind w:left="1622" w:hanging="902"/>
      </w:pPr>
      <w:rPr>
        <w:rFonts w:ascii="Symbol" w:hAnsi="Symbol" w:hint="default"/>
      </w:rPr>
    </w:lvl>
    <w:lvl w:ilvl="2">
      <w:start w:val="1"/>
      <w:numFmt w:val="bullet"/>
      <w:lvlText w:val=""/>
      <w:lvlJc w:val="left"/>
      <w:pPr>
        <w:tabs>
          <w:tab w:val="num" w:pos="1622"/>
        </w:tabs>
        <w:ind w:left="1622" w:hanging="902"/>
      </w:pPr>
      <w:rPr>
        <w:rFonts w:ascii="Symbol" w:hAnsi="Symbol" w:hint="default"/>
      </w:rPr>
    </w:lvl>
    <w:lvl w:ilvl="3">
      <w:start w:val="1"/>
      <w:numFmt w:val="bullet"/>
      <w:lvlText w:val=""/>
      <w:lvlJc w:val="left"/>
      <w:pPr>
        <w:tabs>
          <w:tab w:val="num" w:pos="2699"/>
        </w:tabs>
        <w:ind w:left="2699" w:hanging="1077"/>
      </w:pPr>
      <w:rPr>
        <w:rFonts w:ascii="Symbol" w:hAnsi="Symbol" w:hint="default"/>
      </w:rPr>
    </w:lvl>
    <w:lvl w:ilvl="4">
      <w:start w:val="1"/>
      <w:numFmt w:val="bullet"/>
      <w:lvlText w:val=""/>
      <w:lvlJc w:val="left"/>
      <w:pPr>
        <w:tabs>
          <w:tab w:val="num" w:pos="3238"/>
        </w:tabs>
        <w:ind w:left="3238" w:hanging="539"/>
      </w:pPr>
      <w:rPr>
        <w:rFonts w:ascii="Symbol" w:hAnsi="Symbol" w:hint="default"/>
      </w:rPr>
    </w:lvl>
    <w:lvl w:ilvl="5">
      <w:start w:val="1"/>
      <w:numFmt w:val="bullet"/>
      <w:lvlText w:val=""/>
      <w:lvlJc w:val="left"/>
      <w:pPr>
        <w:tabs>
          <w:tab w:val="num" w:pos="3238"/>
        </w:tabs>
        <w:ind w:left="3238" w:hanging="539"/>
      </w:pPr>
      <w:rPr>
        <w:rFonts w:ascii="Symbol" w:hAnsi="Symbol" w:hint="default"/>
      </w:rPr>
    </w:lvl>
    <w:lvl w:ilvl="6">
      <w:start w:val="1"/>
      <w:numFmt w:val="bullet"/>
      <w:lvlText w:val=""/>
      <w:lvlJc w:val="left"/>
      <w:pPr>
        <w:tabs>
          <w:tab w:val="num" w:pos="3912"/>
        </w:tabs>
        <w:ind w:left="3912" w:hanging="674"/>
      </w:pPr>
      <w:rPr>
        <w:rFonts w:ascii="Symbol" w:hAnsi="Symbol" w:hint="default"/>
      </w:rPr>
    </w:lvl>
    <w:lvl w:ilvl="7">
      <w:start w:val="1"/>
      <w:numFmt w:val="bullet"/>
      <w:lvlText w:val=""/>
      <w:lvlJc w:val="left"/>
      <w:pPr>
        <w:tabs>
          <w:tab w:val="num" w:pos="4587"/>
        </w:tabs>
        <w:ind w:left="4587" w:hanging="675"/>
      </w:pPr>
      <w:rPr>
        <w:rFonts w:ascii="Symbol" w:hAnsi="Symbol" w:hint="default"/>
      </w:rPr>
    </w:lvl>
    <w:lvl w:ilvl="8">
      <w:start w:val="1"/>
      <w:numFmt w:val="bullet"/>
      <w:lvlText w:val=""/>
      <w:lvlJc w:val="left"/>
      <w:pPr>
        <w:tabs>
          <w:tab w:val="num" w:pos="5262"/>
        </w:tabs>
        <w:ind w:left="5262" w:hanging="675"/>
      </w:pPr>
      <w:rPr>
        <w:rFonts w:ascii="Symbol" w:hAnsi="Symbol" w:hint="default"/>
      </w:rPr>
    </w:lvl>
  </w:abstractNum>
  <w:abstractNum w:abstractNumId="7">
    <w:nsid w:val="37B72162"/>
    <w:multiLevelType w:val="hybridMultilevel"/>
    <w:tmpl w:val="B1AEF0B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AA63952"/>
    <w:multiLevelType w:val="hybridMultilevel"/>
    <w:tmpl w:val="850209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C2C365B"/>
    <w:multiLevelType w:val="multilevel"/>
    <w:tmpl w:val="2D08F1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tabs>
          <w:tab w:val="num" w:pos="1622"/>
        </w:tabs>
        <w:ind w:left="1622" w:hanging="902"/>
      </w:pPr>
      <w:rPr>
        <w:rFonts w:hint="default"/>
      </w:rPr>
    </w:lvl>
    <w:lvl w:ilvl="3">
      <w:start w:val="1"/>
      <w:numFmt w:val="decimal"/>
      <w:lvlText w:val="%1.%2.%3.%4"/>
      <w:lvlJc w:val="left"/>
      <w:pPr>
        <w:tabs>
          <w:tab w:val="num" w:pos="2699"/>
        </w:tabs>
        <w:ind w:left="2699" w:hanging="1077"/>
      </w:pPr>
      <w:rPr>
        <w:rFonts w:hint="default"/>
      </w:rPr>
    </w:lvl>
    <w:lvl w:ilvl="4">
      <w:start w:val="1"/>
      <w:numFmt w:val="lowerLetter"/>
      <w:lvlText w:val="(%5)"/>
      <w:lvlJc w:val="left"/>
      <w:pPr>
        <w:tabs>
          <w:tab w:val="num" w:pos="2699"/>
        </w:tabs>
        <w:ind w:left="2699" w:hanging="1077"/>
      </w:pPr>
      <w:rPr>
        <w:rFonts w:hint="default"/>
      </w:rPr>
    </w:lvl>
    <w:lvl w:ilvl="5">
      <w:start w:val="1"/>
      <w:numFmt w:val="lowerRoman"/>
      <w:lvlText w:val="(%6)"/>
      <w:lvlJc w:val="left"/>
      <w:pPr>
        <w:tabs>
          <w:tab w:val="num" w:pos="3238"/>
        </w:tabs>
        <w:ind w:left="3238" w:hanging="539"/>
      </w:pPr>
      <w:rPr>
        <w:rFonts w:hint="default"/>
      </w:rPr>
    </w:lvl>
    <w:lvl w:ilvl="6">
      <w:start w:val="1"/>
      <w:numFmt w:val="upperLetter"/>
      <w:lvlText w:val="(%7)"/>
      <w:lvlJc w:val="left"/>
      <w:pPr>
        <w:tabs>
          <w:tab w:val="num" w:pos="3912"/>
        </w:tabs>
        <w:ind w:left="3912" w:hanging="674"/>
      </w:pPr>
      <w:rPr>
        <w:rFonts w:hint="default"/>
      </w:rPr>
    </w:lvl>
    <w:lvl w:ilvl="7">
      <w:start w:val="1"/>
      <w:numFmt w:val="upperRoman"/>
      <w:lvlText w:val="(%8)"/>
      <w:lvlJc w:val="left"/>
      <w:pPr>
        <w:tabs>
          <w:tab w:val="num" w:pos="4587"/>
        </w:tabs>
        <w:ind w:left="4587" w:hanging="675"/>
      </w:pPr>
      <w:rPr>
        <w:rFonts w:hint="default"/>
      </w:rPr>
    </w:lvl>
    <w:lvl w:ilvl="8">
      <w:start w:val="1"/>
      <w:numFmt w:val="lowerRoman"/>
      <w:lvlText w:val="%9."/>
      <w:lvlJc w:val="left"/>
      <w:pPr>
        <w:tabs>
          <w:tab w:val="num" w:pos="5262"/>
        </w:tabs>
        <w:ind w:left="5262" w:hanging="675"/>
      </w:pPr>
      <w:rPr>
        <w:rFonts w:hint="default"/>
      </w:rPr>
    </w:lvl>
  </w:abstractNum>
  <w:abstractNum w:abstractNumId="10">
    <w:nsid w:val="4B885FE7"/>
    <w:multiLevelType w:val="hybridMultilevel"/>
    <w:tmpl w:val="EAC899B4"/>
    <w:lvl w:ilvl="0">
      <w:start w:val="0"/>
      <w:numFmt w:val="bullet"/>
      <w:lvlText w:val="-"/>
      <w:lvlJc w:val="right"/>
      <w:pPr>
        <w:ind w:left="720" w:hanging="360"/>
      </w:pPr>
      <w:rPr>
        <w:rFonts w:ascii="Arial" w:eastAsia="Times New Roman" w:hAnsi="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0D71EF6"/>
    <w:multiLevelType w:val="hybridMultilevel"/>
    <w:tmpl w:val="7FD213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3AB06F8"/>
    <w:multiLevelType w:val="hybridMultilevel"/>
    <w:tmpl w:val="2F2AD560"/>
    <w:lvl w:ilvl="0">
      <w:start w:val="0"/>
      <w:numFmt w:val="bullet"/>
      <w:lvlText w:val="-"/>
      <w:lvlJc w:val="right"/>
      <w:pPr>
        <w:ind w:left="720" w:hanging="360"/>
      </w:pPr>
      <w:rPr>
        <w:rFonts w:ascii="Arial" w:eastAsia="Times New Roman" w:hAnsi="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3CA3736"/>
    <w:multiLevelType w:val="hybridMultilevel"/>
    <w:tmpl w:val="0A0CB08C"/>
    <w:lvl w:ilvl="0">
      <w:start w:val="1"/>
      <w:numFmt w:val="lowerLetter"/>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6803A30"/>
    <w:multiLevelType w:val="hybridMultilevel"/>
    <w:tmpl w:val="02D29F30"/>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nsid w:val="5D794830"/>
    <w:multiLevelType w:val="hybridMultilevel"/>
    <w:tmpl w:val="0BA4EE74"/>
    <w:lvl w:ilvl="0">
      <w:start w:val="1"/>
      <w:numFmt w:val="decimal"/>
      <w:lvlText w:val="%1."/>
      <w:lvlJc w:val="left"/>
      <w:pPr>
        <w:tabs>
          <w:tab w:val="num" w:pos="0"/>
        </w:tabs>
        <w:ind w:left="720" w:hanging="360"/>
      </w:pPr>
      <w:rPr>
        <w:rFonts w:ascii="Calibri" w:eastAsia="Calibri" w:hAnsi="Calibri" w:cs="Calibri" w:hint="default"/>
        <w:b/>
        <w:i w:val="0"/>
        <w:caps w:val="0"/>
        <w:outline w:val="0"/>
        <w:color w:val="000000"/>
        <w:w w:val="100"/>
        <w:kern w:val="0"/>
        <w:sz w:val="20"/>
        <w:u w:val="none"/>
        <w:rtl w:val="0"/>
        <w:lang w:val="en-U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E8E392F"/>
    <w:multiLevelType w:val="hybridMultilevel"/>
    <w:tmpl w:val="2332A434"/>
    <w:lvl w:ilvl="0">
      <w:start w:val="0"/>
      <w:numFmt w:val="bullet"/>
      <w:lvlText w:val="-"/>
      <w:lvlJc w:val="right"/>
      <w:pPr>
        <w:ind w:left="720" w:hanging="360"/>
      </w:pPr>
      <w:rPr>
        <w:rFonts w:ascii="Arial" w:eastAsia="Times New Roman" w:hAnsi="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D0D60A7"/>
    <w:multiLevelType w:val="hybridMultilevel"/>
    <w:tmpl w:val="2C2879EC"/>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6"/>
  </w:num>
  <w:num w:numId="2">
    <w:abstractNumId w:val="9"/>
  </w:num>
  <w:num w:numId="3">
    <w:abstractNumId w:val="3"/>
  </w:num>
  <w:num w:numId="4">
    <w:abstractNumId w:val="3"/>
  </w:num>
  <w:num w:numId="5">
    <w:abstractNumId w:val="6"/>
  </w:num>
  <w:num w:numId="6">
    <w:abstractNumId w:val="9"/>
  </w:num>
  <w:num w:numId="7">
    <w:abstractNumId w:val="13"/>
  </w:num>
  <w:num w:numId="8">
    <w:abstractNumId w:val="11"/>
  </w:num>
  <w:num w:numId="9">
    <w:abstractNumId w:val="8"/>
  </w:num>
  <w:num w:numId="10">
    <w:abstractNumId w:val="10"/>
  </w:num>
  <w:num w:numId="11">
    <w:abstractNumId w:val="12"/>
  </w:num>
  <w:num w:numId="12">
    <w:abstractNumId w:val="7"/>
  </w:num>
  <w:num w:numId="13">
    <w:abstractNumId w:val="14"/>
  </w:num>
  <w:num w:numId="14">
    <w:abstractNumId w:val="16"/>
  </w:num>
  <w:num w:numId="15">
    <w:abstractNumId w:val="2"/>
  </w:num>
  <w:num w:numId="16">
    <w:abstractNumId w:val="15"/>
  </w:num>
  <w:num w:numId="17">
    <w:abstractNumId w:val="17"/>
  </w:num>
  <w:num w:numId="18">
    <w:abstractNumId w:val="5"/>
  </w:num>
  <w:num w:numId="19">
    <w:abstractNumId w:val="1"/>
  </w:num>
  <w:num w:numId="20">
    <w:abstractNumId w:val="0"/>
  </w:num>
  <w:num w:numId="2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stylePaneFormatFilter w:val="D004" w:allStyles="0" w:alternateStyleNames="1" w:clearFormatting="1" w:customStyles="0" w:directFormattingOnNumbering="0" w:directFormattingOnParagraphs="0" w:directFormattingOnRuns="0" w:directFormattingOnTables="0" w:headingStyles="0" w:latentStyles="1" w:numberingStyles="0" w:stylesInUse="0" w:tableStyles="0" w:top3HeadingStyles="0" w:visibleStyl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3D"/>
    <w:rsid w:val="00005CB5"/>
    <w:rsid w:val="000168C2"/>
    <w:rsid w:val="0003392F"/>
    <w:rsid w:val="00037934"/>
    <w:rsid w:val="00042DC9"/>
    <w:rsid w:val="00044678"/>
    <w:rsid w:val="00063408"/>
    <w:rsid w:val="00075D8E"/>
    <w:rsid w:val="00076A29"/>
    <w:rsid w:val="000772DC"/>
    <w:rsid w:val="000A0F2C"/>
    <w:rsid w:val="000A1693"/>
    <w:rsid w:val="000A20E4"/>
    <w:rsid w:val="000A4505"/>
    <w:rsid w:val="000C0287"/>
    <w:rsid w:val="000D04FC"/>
    <w:rsid w:val="000D13AB"/>
    <w:rsid w:val="000F4E3C"/>
    <w:rsid w:val="0010213F"/>
    <w:rsid w:val="001077B9"/>
    <w:rsid w:val="00107971"/>
    <w:rsid w:val="00116F55"/>
    <w:rsid w:val="001253DF"/>
    <w:rsid w:val="00131E46"/>
    <w:rsid w:val="00132956"/>
    <w:rsid w:val="001451E7"/>
    <w:rsid w:val="00156704"/>
    <w:rsid w:val="001651B5"/>
    <w:rsid w:val="00167770"/>
    <w:rsid w:val="00170D53"/>
    <w:rsid w:val="001A242F"/>
    <w:rsid w:val="001B0205"/>
    <w:rsid w:val="001B1800"/>
    <w:rsid w:val="001E4E9E"/>
    <w:rsid w:val="001E54A5"/>
    <w:rsid w:val="001E6282"/>
    <w:rsid w:val="001F1B4B"/>
    <w:rsid w:val="001F1C07"/>
    <w:rsid w:val="001F6550"/>
    <w:rsid w:val="00205194"/>
    <w:rsid w:val="002167E0"/>
    <w:rsid w:val="00225B04"/>
    <w:rsid w:val="00231484"/>
    <w:rsid w:val="0025425B"/>
    <w:rsid w:val="0026061A"/>
    <w:rsid w:val="00264E72"/>
    <w:rsid w:val="00265964"/>
    <w:rsid w:val="00275566"/>
    <w:rsid w:val="002760FE"/>
    <w:rsid w:val="002936F5"/>
    <w:rsid w:val="00293744"/>
    <w:rsid w:val="002A5FFE"/>
    <w:rsid w:val="002B5645"/>
    <w:rsid w:val="002B7CFB"/>
    <w:rsid w:val="002C3E9C"/>
    <w:rsid w:val="002D1912"/>
    <w:rsid w:val="002D45EF"/>
    <w:rsid w:val="002E6BB1"/>
    <w:rsid w:val="002F2B19"/>
    <w:rsid w:val="002F491D"/>
    <w:rsid w:val="003045D1"/>
    <w:rsid w:val="00311FA4"/>
    <w:rsid w:val="003128B9"/>
    <w:rsid w:val="00313790"/>
    <w:rsid w:val="003143EB"/>
    <w:rsid w:val="003315BC"/>
    <w:rsid w:val="00331681"/>
    <w:rsid w:val="00352E24"/>
    <w:rsid w:val="00360D53"/>
    <w:rsid w:val="003621E2"/>
    <w:rsid w:val="00364763"/>
    <w:rsid w:val="0038199C"/>
    <w:rsid w:val="00384D35"/>
    <w:rsid w:val="00392104"/>
    <w:rsid w:val="003A0280"/>
    <w:rsid w:val="003B28F5"/>
    <w:rsid w:val="003C14F6"/>
    <w:rsid w:val="003C4F53"/>
    <w:rsid w:val="003D04DB"/>
    <w:rsid w:val="003F528C"/>
    <w:rsid w:val="004037C8"/>
    <w:rsid w:val="0041423C"/>
    <w:rsid w:val="00414649"/>
    <w:rsid w:val="00421F0A"/>
    <w:rsid w:val="004233B8"/>
    <w:rsid w:val="00433155"/>
    <w:rsid w:val="00435D78"/>
    <w:rsid w:val="00443990"/>
    <w:rsid w:val="00443E87"/>
    <w:rsid w:val="00450143"/>
    <w:rsid w:val="00460753"/>
    <w:rsid w:val="00463474"/>
    <w:rsid w:val="004644C5"/>
    <w:rsid w:val="0047276C"/>
    <w:rsid w:val="00473567"/>
    <w:rsid w:val="00484682"/>
    <w:rsid w:val="00497F31"/>
    <w:rsid w:val="004A634D"/>
    <w:rsid w:val="004B1456"/>
    <w:rsid w:val="004C0190"/>
    <w:rsid w:val="004C165B"/>
    <w:rsid w:val="004D0491"/>
    <w:rsid w:val="004E054E"/>
    <w:rsid w:val="004E25F6"/>
    <w:rsid w:val="004F131F"/>
    <w:rsid w:val="004F2633"/>
    <w:rsid w:val="005063CF"/>
    <w:rsid w:val="00510873"/>
    <w:rsid w:val="00511EEC"/>
    <w:rsid w:val="00520A50"/>
    <w:rsid w:val="00526719"/>
    <w:rsid w:val="00526A67"/>
    <w:rsid w:val="00527D29"/>
    <w:rsid w:val="00533FF8"/>
    <w:rsid w:val="005513B1"/>
    <w:rsid w:val="005533CA"/>
    <w:rsid w:val="00561C52"/>
    <w:rsid w:val="005655E6"/>
    <w:rsid w:val="00577A2F"/>
    <w:rsid w:val="0058134B"/>
    <w:rsid w:val="00586D52"/>
    <w:rsid w:val="005B5E4B"/>
    <w:rsid w:val="005B6F77"/>
    <w:rsid w:val="005C5A3F"/>
    <w:rsid w:val="005D51BF"/>
    <w:rsid w:val="005D72E8"/>
    <w:rsid w:val="005D76CC"/>
    <w:rsid w:val="005E0445"/>
    <w:rsid w:val="005E1B65"/>
    <w:rsid w:val="005F15D8"/>
    <w:rsid w:val="005F79F2"/>
    <w:rsid w:val="006131E9"/>
    <w:rsid w:val="00617BD7"/>
    <w:rsid w:val="00620058"/>
    <w:rsid w:val="0063045A"/>
    <w:rsid w:val="0065389F"/>
    <w:rsid w:val="00665E93"/>
    <w:rsid w:val="00682B07"/>
    <w:rsid w:val="00690100"/>
    <w:rsid w:val="006A7B3D"/>
    <w:rsid w:val="006B4100"/>
    <w:rsid w:val="006C38D0"/>
    <w:rsid w:val="006C45C7"/>
    <w:rsid w:val="006D31AA"/>
    <w:rsid w:val="006E5498"/>
    <w:rsid w:val="006F3EA8"/>
    <w:rsid w:val="00700492"/>
    <w:rsid w:val="00703D77"/>
    <w:rsid w:val="00720786"/>
    <w:rsid w:val="00720E51"/>
    <w:rsid w:val="00724575"/>
    <w:rsid w:val="00731280"/>
    <w:rsid w:val="00734DF2"/>
    <w:rsid w:val="00736012"/>
    <w:rsid w:val="0074149C"/>
    <w:rsid w:val="00766013"/>
    <w:rsid w:val="00776E32"/>
    <w:rsid w:val="00782183"/>
    <w:rsid w:val="007855E7"/>
    <w:rsid w:val="007977C6"/>
    <w:rsid w:val="007A180B"/>
    <w:rsid w:val="007B0E3A"/>
    <w:rsid w:val="007B18C3"/>
    <w:rsid w:val="007B548F"/>
    <w:rsid w:val="007B6731"/>
    <w:rsid w:val="007D6D65"/>
    <w:rsid w:val="007E20C5"/>
    <w:rsid w:val="007E6F18"/>
    <w:rsid w:val="007E7E83"/>
    <w:rsid w:val="00820AF1"/>
    <w:rsid w:val="0084177E"/>
    <w:rsid w:val="008461F6"/>
    <w:rsid w:val="00852CC1"/>
    <w:rsid w:val="00857250"/>
    <w:rsid w:val="00857A96"/>
    <w:rsid w:val="008637E1"/>
    <w:rsid w:val="0087508D"/>
    <w:rsid w:val="008833F3"/>
    <w:rsid w:val="0089654F"/>
    <w:rsid w:val="008A6B8F"/>
    <w:rsid w:val="008B3787"/>
    <w:rsid w:val="008B59B6"/>
    <w:rsid w:val="008B5C15"/>
    <w:rsid w:val="008C2354"/>
    <w:rsid w:val="008C5D87"/>
    <w:rsid w:val="008D3E28"/>
    <w:rsid w:val="008D5400"/>
    <w:rsid w:val="008E09EC"/>
    <w:rsid w:val="008E3EDD"/>
    <w:rsid w:val="008F3E3A"/>
    <w:rsid w:val="0091468C"/>
    <w:rsid w:val="009237CE"/>
    <w:rsid w:val="009240E4"/>
    <w:rsid w:val="00933F1B"/>
    <w:rsid w:val="009414F4"/>
    <w:rsid w:val="00950F98"/>
    <w:rsid w:val="00962CB8"/>
    <w:rsid w:val="00966377"/>
    <w:rsid w:val="009678CF"/>
    <w:rsid w:val="00970688"/>
    <w:rsid w:val="00971EE3"/>
    <w:rsid w:val="00975DDE"/>
    <w:rsid w:val="00985290"/>
    <w:rsid w:val="009909A9"/>
    <w:rsid w:val="00991D27"/>
    <w:rsid w:val="00994E35"/>
    <w:rsid w:val="009A2844"/>
    <w:rsid w:val="009A299C"/>
    <w:rsid w:val="009B71FB"/>
    <w:rsid w:val="009C006C"/>
    <w:rsid w:val="009C6D22"/>
    <w:rsid w:val="009D1611"/>
    <w:rsid w:val="009E4E59"/>
    <w:rsid w:val="009E6047"/>
    <w:rsid w:val="009F7F4B"/>
    <w:rsid w:val="00A01C3B"/>
    <w:rsid w:val="00A02A37"/>
    <w:rsid w:val="00A23B39"/>
    <w:rsid w:val="00A27973"/>
    <w:rsid w:val="00A36ADA"/>
    <w:rsid w:val="00A554F3"/>
    <w:rsid w:val="00A869D7"/>
    <w:rsid w:val="00A905AE"/>
    <w:rsid w:val="00A92DF4"/>
    <w:rsid w:val="00AE1885"/>
    <w:rsid w:val="00AF613E"/>
    <w:rsid w:val="00B0043D"/>
    <w:rsid w:val="00B11FAD"/>
    <w:rsid w:val="00B146A7"/>
    <w:rsid w:val="00B260EF"/>
    <w:rsid w:val="00B312E9"/>
    <w:rsid w:val="00B40E3E"/>
    <w:rsid w:val="00B44926"/>
    <w:rsid w:val="00B45553"/>
    <w:rsid w:val="00B71919"/>
    <w:rsid w:val="00B969E0"/>
    <w:rsid w:val="00BA58B8"/>
    <w:rsid w:val="00BB7ACD"/>
    <w:rsid w:val="00BC4CEE"/>
    <w:rsid w:val="00BD0E9D"/>
    <w:rsid w:val="00BD1EA8"/>
    <w:rsid w:val="00BD2F55"/>
    <w:rsid w:val="00BF2D25"/>
    <w:rsid w:val="00BF4C0F"/>
    <w:rsid w:val="00BF753E"/>
    <w:rsid w:val="00C20A51"/>
    <w:rsid w:val="00C2525D"/>
    <w:rsid w:val="00C43D4C"/>
    <w:rsid w:val="00C47BFA"/>
    <w:rsid w:val="00C544D8"/>
    <w:rsid w:val="00C5777A"/>
    <w:rsid w:val="00C60007"/>
    <w:rsid w:val="00C70AB2"/>
    <w:rsid w:val="00C7686B"/>
    <w:rsid w:val="00C809D3"/>
    <w:rsid w:val="00C9594E"/>
    <w:rsid w:val="00CA095A"/>
    <w:rsid w:val="00CA4567"/>
    <w:rsid w:val="00CA7450"/>
    <w:rsid w:val="00CC3DA4"/>
    <w:rsid w:val="00CD6AB7"/>
    <w:rsid w:val="00CE0263"/>
    <w:rsid w:val="00CE5717"/>
    <w:rsid w:val="00CE6AAF"/>
    <w:rsid w:val="00CE72FC"/>
    <w:rsid w:val="00D01B91"/>
    <w:rsid w:val="00D02215"/>
    <w:rsid w:val="00D022E7"/>
    <w:rsid w:val="00D22BF7"/>
    <w:rsid w:val="00D23759"/>
    <w:rsid w:val="00D3083A"/>
    <w:rsid w:val="00D46C3D"/>
    <w:rsid w:val="00D47CFF"/>
    <w:rsid w:val="00D604FD"/>
    <w:rsid w:val="00D60E2C"/>
    <w:rsid w:val="00D66878"/>
    <w:rsid w:val="00D74142"/>
    <w:rsid w:val="00D756B2"/>
    <w:rsid w:val="00D81E88"/>
    <w:rsid w:val="00D84323"/>
    <w:rsid w:val="00D91C57"/>
    <w:rsid w:val="00D93D0C"/>
    <w:rsid w:val="00DA7234"/>
    <w:rsid w:val="00DA74D3"/>
    <w:rsid w:val="00DB0F49"/>
    <w:rsid w:val="00DC3BE1"/>
    <w:rsid w:val="00DC3C18"/>
    <w:rsid w:val="00DC45AD"/>
    <w:rsid w:val="00DD28ED"/>
    <w:rsid w:val="00DD3ED9"/>
    <w:rsid w:val="00DE0B51"/>
    <w:rsid w:val="00E00D24"/>
    <w:rsid w:val="00E11776"/>
    <w:rsid w:val="00E27172"/>
    <w:rsid w:val="00E31D90"/>
    <w:rsid w:val="00E37A14"/>
    <w:rsid w:val="00E44BA5"/>
    <w:rsid w:val="00E718EA"/>
    <w:rsid w:val="00E74AC5"/>
    <w:rsid w:val="00E83EBB"/>
    <w:rsid w:val="00EA2431"/>
    <w:rsid w:val="00EA6868"/>
    <w:rsid w:val="00EB3555"/>
    <w:rsid w:val="00EB6900"/>
    <w:rsid w:val="00EC084B"/>
    <w:rsid w:val="00EC1C2D"/>
    <w:rsid w:val="00EC2BBA"/>
    <w:rsid w:val="00ED354E"/>
    <w:rsid w:val="00ED4F88"/>
    <w:rsid w:val="00ED7262"/>
    <w:rsid w:val="00EE0464"/>
    <w:rsid w:val="00EE627E"/>
    <w:rsid w:val="00EF662E"/>
    <w:rsid w:val="00EF7775"/>
    <w:rsid w:val="00F028D1"/>
    <w:rsid w:val="00F12180"/>
    <w:rsid w:val="00F13581"/>
    <w:rsid w:val="00F2724E"/>
    <w:rsid w:val="00F56E9E"/>
    <w:rsid w:val="00F623C0"/>
    <w:rsid w:val="00F6619F"/>
    <w:rsid w:val="00F7757C"/>
    <w:rsid w:val="00F8066F"/>
    <w:rsid w:val="00F85AE8"/>
    <w:rsid w:val="00FA0EAF"/>
    <w:rsid w:val="00FB0F2D"/>
    <w:rsid w:val="00FC195A"/>
    <w:rsid w:val="00FD08A0"/>
    <w:rsid w:val="00FD0925"/>
    <w:rsid w:val="00FD0AA0"/>
    <w:rsid w:val="00FD68D5"/>
    <w:rsid w:val="00FF0BC4"/>
  </w:rsids>
  <m:mathPr>
    <m:mathFont m:val="Cambria Math"/>
  </m:mathPr>
  <w:themeFontLang w:val="en-GB"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lang w:val="en-GB"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FA0EAF"/>
    <w:rPr>
      <w:rFonts w:ascii="Georgia" w:hAnsi="Georgia"/>
      <w:sz w:val="22"/>
    </w:rPr>
  </w:style>
  <w:style w:type="paragraph" w:styleId="Heading1">
    <w:name w:val="heading 1"/>
    <w:basedOn w:val="Normal"/>
    <w:next w:val="Normal"/>
    <w:link w:val="Heading1Char"/>
    <w:uiPriority w:val="9"/>
    <w:qFormat/>
    <w:rsid w:val="009E4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amp;B Body Text,bt"/>
    <w:basedOn w:val="Normal"/>
    <w:link w:val="BodyTextChar"/>
    <w:rsid w:val="00FA0EAF"/>
    <w:pPr>
      <w:jc w:val="both"/>
    </w:pPr>
    <w:rPr>
      <w:rFonts w:cs="Times New Roman"/>
    </w:rPr>
  </w:style>
  <w:style w:type="character" w:customStyle="1" w:styleId="BodyTextChar">
    <w:name w:val="Body Text Char"/>
    <w:aliases w:val="B&amp;B Body Text Char,bt Char"/>
    <w:basedOn w:val="DefaultParagraphFont"/>
    <w:link w:val="BodyText"/>
    <w:rsid w:val="00FA0EAF"/>
    <w:rPr>
      <w:rFonts w:ascii="Georgia" w:hAnsi="Georgia" w:cs="Times New Roman"/>
      <w:sz w:val="22"/>
    </w:rPr>
  </w:style>
  <w:style w:type="table" w:styleId="TableGrid">
    <w:name w:val="Table Grid"/>
    <w:basedOn w:val="TableNormal"/>
    <w:uiPriority w:val="59"/>
    <w:rsid w:val="00B146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semiHidden/>
    <w:rsid w:val="00B146A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Header">
    <w:name w:val="header"/>
    <w:aliases w:val="B&amp;B Header"/>
    <w:basedOn w:val="Normal"/>
    <w:link w:val="HeaderChar"/>
    <w:uiPriority w:val="99"/>
    <w:semiHidden/>
    <w:rsid w:val="00F13581"/>
    <w:pPr>
      <w:tabs>
        <w:tab w:val="center" w:pos="4513"/>
        <w:tab w:val="right" w:pos="9026"/>
      </w:tabs>
      <w:spacing w:after="0"/>
    </w:pPr>
  </w:style>
  <w:style w:type="character" w:customStyle="1" w:styleId="HeaderChar">
    <w:name w:val="Header Char"/>
    <w:aliases w:val="B&amp;B Header Char"/>
    <w:basedOn w:val="DefaultParagraphFont"/>
    <w:link w:val="Header"/>
    <w:uiPriority w:val="99"/>
    <w:semiHidden/>
    <w:rsid w:val="00C7686B"/>
    <w:rPr>
      <w:rFonts w:ascii="Georgia" w:hAnsi="Georgia"/>
      <w:sz w:val="22"/>
    </w:rPr>
  </w:style>
  <w:style w:type="paragraph" w:styleId="Footer">
    <w:name w:val="footer"/>
    <w:basedOn w:val="Normal"/>
    <w:link w:val="FooterChar"/>
    <w:uiPriority w:val="99"/>
    <w:semiHidden/>
    <w:rsid w:val="001451E7"/>
    <w:pPr>
      <w:tabs>
        <w:tab w:val="center" w:pos="4513"/>
        <w:tab w:val="right" w:pos="9026"/>
      </w:tabs>
      <w:spacing w:after="0"/>
      <w:jc w:val="center"/>
    </w:pPr>
    <w:rPr>
      <w:sz w:val="20"/>
    </w:rPr>
  </w:style>
  <w:style w:type="character" w:customStyle="1" w:styleId="FooterChar">
    <w:name w:val="Footer Char"/>
    <w:basedOn w:val="DefaultParagraphFont"/>
    <w:link w:val="Footer"/>
    <w:uiPriority w:val="99"/>
    <w:semiHidden/>
    <w:rsid w:val="001451E7"/>
    <w:rPr>
      <w:rFonts w:ascii="Georgia" w:hAnsi="Georgia"/>
    </w:rPr>
  </w:style>
  <w:style w:type="paragraph" w:styleId="BalloonText">
    <w:name w:val="Balloon Text"/>
    <w:basedOn w:val="Normal"/>
    <w:link w:val="BalloonTextChar"/>
    <w:uiPriority w:val="99"/>
    <w:semiHidden/>
    <w:rsid w:val="004607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6B"/>
    <w:rPr>
      <w:rFonts w:ascii="Tahoma" w:hAnsi="Tahoma" w:cs="Tahoma"/>
      <w:sz w:val="16"/>
      <w:szCs w:val="16"/>
    </w:rPr>
  </w:style>
  <w:style w:type="paragraph" w:styleId="FootnoteText">
    <w:name w:val="footnote text"/>
    <w:basedOn w:val="Normal"/>
    <w:link w:val="FootnoteTextChar"/>
    <w:uiPriority w:val="99"/>
    <w:semiHidden/>
    <w:rsid w:val="008833F3"/>
    <w:pPr>
      <w:spacing w:after="0"/>
    </w:pPr>
    <w:rPr>
      <w:rFonts w:asciiTheme="majorHAnsi" w:hAnsiTheme="majorHAnsi"/>
      <w:sz w:val="20"/>
    </w:rPr>
  </w:style>
  <w:style w:type="character" w:customStyle="1" w:styleId="FootnoteTextChar">
    <w:name w:val="Footnote Text Char"/>
    <w:basedOn w:val="DefaultParagraphFont"/>
    <w:link w:val="FootnoteText"/>
    <w:uiPriority w:val="99"/>
    <w:semiHidden/>
    <w:rsid w:val="00C7686B"/>
  </w:style>
  <w:style w:type="paragraph" w:styleId="ListParagraph">
    <w:name w:val="List Paragraph"/>
    <w:basedOn w:val="Normal"/>
    <w:uiPriority w:val="34"/>
    <w:qFormat/>
    <w:rsid w:val="00EF7775"/>
    <w:pPr>
      <w:ind w:left="720"/>
      <w:contextualSpacing/>
    </w:pPr>
  </w:style>
  <w:style w:type="character" w:styleId="CommentReference">
    <w:name w:val="annotation reference"/>
    <w:basedOn w:val="DefaultParagraphFont"/>
    <w:uiPriority w:val="99"/>
    <w:semiHidden/>
    <w:rsid w:val="000168C2"/>
    <w:rPr>
      <w:sz w:val="16"/>
      <w:szCs w:val="16"/>
    </w:rPr>
  </w:style>
  <w:style w:type="paragraph" w:styleId="CommentText">
    <w:name w:val="annotation text"/>
    <w:basedOn w:val="Normal"/>
    <w:link w:val="CommentTextChar"/>
    <w:uiPriority w:val="99"/>
    <w:semiHidden/>
    <w:rsid w:val="000168C2"/>
    <w:pPr>
      <w:spacing w:after="0"/>
    </w:pPr>
    <w:rPr>
      <w:rFonts w:ascii="Times New Roman" w:hAnsi="Times New Roman" w:cs="Times New Roman"/>
      <w:sz w:val="20"/>
      <w:lang w:val="en-US"/>
    </w:rPr>
  </w:style>
  <w:style w:type="character" w:customStyle="1" w:styleId="CommentTextChar">
    <w:name w:val="Comment Text Char"/>
    <w:basedOn w:val="DefaultParagraphFont"/>
    <w:link w:val="CommentText"/>
    <w:uiPriority w:val="99"/>
    <w:semiHidden/>
    <w:rsid w:val="000168C2"/>
    <w:rPr>
      <w:rFonts w:ascii="Times New Roman" w:hAnsi="Times New Roman" w:cs="Times New Roman"/>
      <w:lang w:val="en-US"/>
    </w:rPr>
  </w:style>
  <w:style w:type="paragraph" w:styleId="CommentSubject">
    <w:name w:val="annotation subject"/>
    <w:basedOn w:val="CommentText"/>
    <w:next w:val="CommentText"/>
    <w:link w:val="CommentSubjectChar"/>
    <w:uiPriority w:val="99"/>
    <w:semiHidden/>
    <w:rsid w:val="002A5FFE"/>
    <w:pPr>
      <w:spacing w:after="240"/>
    </w:pPr>
    <w:rPr>
      <w:rFonts w:ascii="Georgia" w:hAnsi="Georgia" w:cstheme="minorBidi"/>
      <w:b/>
      <w:bCs/>
      <w:lang w:val="en-GB"/>
    </w:rPr>
  </w:style>
  <w:style w:type="character" w:customStyle="1" w:styleId="CommentSubjectChar">
    <w:name w:val="Comment Subject Char"/>
    <w:basedOn w:val="CommentTextChar"/>
    <w:link w:val="CommentSubject"/>
    <w:uiPriority w:val="99"/>
    <w:semiHidden/>
    <w:rsid w:val="002A5FFE"/>
    <w:rPr>
      <w:rFonts w:ascii="Georgia" w:hAnsi="Georgia" w:cs="Times New Roman"/>
      <w:b/>
      <w:bCs/>
      <w:lang w:val="en-US"/>
    </w:rPr>
  </w:style>
  <w:style w:type="character" w:styleId="Hyperlink">
    <w:name w:val="Hyperlink"/>
    <w:basedOn w:val="DefaultParagraphFont"/>
    <w:uiPriority w:val="99"/>
    <w:unhideWhenUsed/>
    <w:rsid w:val="003F528C"/>
    <w:rPr>
      <w:color w:val="0000FF" w:themeColor="hyperlink"/>
      <w:u w:val="single"/>
    </w:rPr>
  </w:style>
  <w:style w:type="character" w:customStyle="1" w:styleId="Heading1Char">
    <w:name w:val="Heading 1 Char"/>
    <w:basedOn w:val="DefaultParagraphFont"/>
    <w:link w:val="Heading1"/>
    <w:uiPriority w:val="9"/>
    <w:rsid w:val="009E4E59"/>
    <w:rPr>
      <w:rFonts w:eastAsiaTheme="majorEastAsia" w:cstheme="majorBidi"/>
      <w:color w:val="365F91" w:themeColor="accent1" w:themeShade="BF"/>
      <w:sz w:val="32"/>
      <w:szCs w:val="32"/>
    </w:rPr>
  </w:style>
  <w:style w:type="paragraph" w:styleId="EnvelopeAddress">
    <w:name w:val="envelope address"/>
    <w:basedOn w:val="Normal"/>
    <w:uiPriority w:val="99"/>
    <w:rsid w:val="000F3DF7"/>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dnoteText">
    <w:name w:val="endnote text"/>
    <w:basedOn w:val="Normal"/>
    <w:link w:val="EndnoteTextChar"/>
    <w:uiPriority w:val="99"/>
    <w:rsid w:val="000F3DF7"/>
    <w:pPr>
      <w:spacing w:after="0" w:line="240" w:lineRule="auto"/>
    </w:pPr>
    <w:rPr>
      <w:sz w:val="20"/>
      <w:szCs w:val="20"/>
    </w:rPr>
  </w:style>
  <w:style w:type="character" w:customStyle="1" w:styleId="EndnoteTextChar">
    <w:name w:val="Endnote Text Char"/>
    <w:basedOn w:val="DefaultParagraphFont"/>
    <w:link w:val="EndnoteText"/>
    <w:uiPriority w:val="99"/>
    <w:rsid w:val="000F3D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mailto:subprocessors@parleypro.com" TargetMode="External" /><Relationship Id="rId8" Type="http://schemas.openxmlformats.org/officeDocument/2006/relationships/header" Target="header1.xml" /><Relationship Id="rId9" Type="http://schemas.openxmlformats.org/officeDocument/2006/relationships/footer" Target="footer1.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ird &amp; Bird">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laceholder>
  <label>Company name</label>
  <value>Company name</value>
</Placeholder>
</file>

<file path=customXml/item3.xml><?xml version="1.0" encoding="utf-8"?>
<Placeholder>
  <label>Company name</label>
  <value>Company name</value>
</Placeholder>
</file>

<file path=customXml/itemProps1.xml><?xml version="1.0" encoding="utf-8"?>
<ds:datastoreItem xmlns:ds="http://schemas.openxmlformats.org/officeDocument/2006/customXml" ds:itemID="{9E60EB6B-5DAD-446F-9591-AFE37BA16F0F}">
  <ds:schemaRefs>
    <ds:schemaRef ds:uri="http://schemas.openxmlformats.org/officeDocument/2006/bibliography"/>
  </ds:schemaRefs>
</ds:datastoreItem>
</file>

<file path=customXml/itemProps2.xml><?xml version="1.0" encoding="utf-8"?>
<ds:datastoreItem xmlns:ds="http://schemas.openxmlformats.org/officeDocument/2006/customXml" ds:itemID="926067ef-a672-4e45-9037-6e5a10c388d7">
  <ds:schemaRefs/>
</ds:datastoreItem>
</file>

<file path=customXml/itemProps3.xml><?xml version="1.0" encoding="utf-8"?>
<ds:datastoreItem xmlns:ds="http://schemas.openxmlformats.org/officeDocument/2006/customXml" ds:itemID="e221b834-a916-4c0b-bfbd-9017475e836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2020-01-17T23:55:00Z</dcterms:created>
  <dcterms:modified xsi:type="dcterms:W3CDTF">2020-01-17T23:55:00Z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f25b5ec3-47d9-4179-9e90-d12c0ec5e9e7</vt:lpwstr>
  </property>
  <property fmtid="{D5CDD505-2E9C-101B-9397-08002B2CF9AE}" pid="3" name="ParleyProLastEditedAt">
    <vt:r8>1608740415398</vt:r8>
  </property>
</Properties>
</file>