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Справочник признаков модели прогноза цены меди</w:t>
      </w:r>
    </w:p>
    <w:p>
      <w:pPr>
        <w:pStyle w:val="Author"/>
      </w:pPr>
      <w:r>
        <w:t xml:space="preserve">Copper Forecast MVP</w:t>
      </w:r>
    </w:p>
    <w:p>
      <w:pPr>
        <w:pStyle w:val="Date"/>
      </w:pPr>
      <w:r>
        <w:t xml:space="preserve">Май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X83d0d21f561a2c0bd78d2aba635f6f7af809dbe"/>
    <w:p>
      <w:pPr>
        <w:pStyle w:val="Heading1"/>
      </w:pPr>
      <w:r>
        <w:t xml:space="preserve">Справочник признаков (фичей) модели прогноза цены меди</w:t>
      </w:r>
    </w:p>
    <w:p>
      <w:pPr>
        <w:pStyle w:val="FirstParagraph"/>
      </w:pPr>
      <w:r>
        <w:t xml:space="preserve">Документ объясняет</w:t>
      </w:r>
      <w:r>
        <w:t xml:space="preserve"> </w:t>
      </w:r>
      <w:r>
        <w:rPr>
          <w:b/>
          <w:bCs/>
        </w:rPr>
        <w:t xml:space="preserve">все ~130 признаков</w:t>
      </w:r>
      <w:r>
        <w:t xml:space="preserve">, которые модель использует для прогноза. Для каждой группы: что это,</w:t>
      </w:r>
      <w:r>
        <w:t xml:space="preserve"> </w:t>
      </w:r>
      <w:r>
        <w:rPr>
          <w:b/>
          <w:bCs/>
        </w:rPr>
        <w:t xml:space="preserve">как считается</w:t>
      </w:r>
      <w:r>
        <w:t xml:space="preserve"> </w:t>
      </w:r>
      <w:r>
        <w:t xml:space="preserve">(формула на пальцах + математическая), зачем нужно.</w:t>
      </w:r>
    </w:p>
    <w:p>
      <w:r>
        <w:pict>
          <v:rect style="width:0;height:1.5pt" o:hralign="center" o:hrstd="t" o:hr="t"/>
        </w:pict>
      </w:r>
    </w:p>
    <w:bookmarkStart w:id="12" w:name="основные-понятия"/>
    <w:p>
      <w:pPr>
        <w:pStyle w:val="Heading2"/>
      </w:pPr>
      <w:r>
        <w:t xml:space="preserve">Основные понятия</w:t>
      </w:r>
    </w:p>
    <w:p>
      <w:pPr>
        <w:pStyle w:val="FirstParagraph"/>
      </w:pPr>
      <w:r>
        <w:t xml:space="preserve">Прежде чем разбирать признаки — два базовых термина.</w:t>
      </w:r>
    </w:p>
    <w:bookmarkStart w:id="9" w:name="цена-и-логарифм-цены"/>
    <w:p>
      <w:pPr>
        <w:pStyle w:val="Heading3"/>
      </w:pPr>
      <w:r>
        <w:t xml:space="preserve">Цена и логарифм цены</w:t>
      </w:r>
    </w:p>
    <w:p>
      <w:pPr>
        <w:pStyle w:val="FirstParagraph"/>
      </w:pPr>
      <w:r>
        <w:rPr>
          <w:rStyle w:val="VerbatimChar"/>
        </w:rPr>
        <w:t xml:space="preserve">P_t</w:t>
      </w:r>
      <w:r>
        <w:t xml:space="preserve"> </w:t>
      </w:r>
      <w:r>
        <w:t xml:space="preserve">— цена меди в день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(USD за фунт на COMEX).</w:t>
      </w:r>
    </w:p>
    <w:p>
      <w:pPr>
        <w:pStyle w:val="BodyText"/>
      </w:pPr>
      <w:r>
        <w:t xml:space="preserve">Многие признаки используют</w:t>
      </w:r>
      <w:r>
        <w:t xml:space="preserve"> </w:t>
      </w:r>
      <w:r>
        <w:rPr>
          <w:b/>
          <w:bCs/>
        </w:rPr>
        <w:t xml:space="preserve">логарифм</w:t>
      </w:r>
      <w:r>
        <w:t xml:space="preserve"> </w:t>
      </w:r>
      <w:r>
        <w:t xml:space="preserve">цены</w:t>
      </w:r>
      <w:r>
        <w:t xml:space="preserve"> </w:t>
      </w:r>
      <w:r>
        <w:rPr>
          <w:rStyle w:val="VerbatimChar"/>
        </w:rPr>
        <w:t xml:space="preserve">ln(P_t)</w:t>
      </w:r>
      <w:r>
        <w:t xml:space="preserve">. Зачем? Логарифм превращает «проценты» в «слагаемые»: рост с 6.0 до 6.3 и с 6.3 до 6.615 (оба +5%) дают</w:t>
      </w:r>
      <w:r>
        <w:t xml:space="preserve"> </w:t>
      </w:r>
      <w:r>
        <w:rPr>
          <w:b/>
          <w:bCs/>
        </w:rPr>
        <w:t xml:space="preserve">одинаковый</w:t>
      </w:r>
      <w:r>
        <w:t xml:space="preserve"> </w:t>
      </w:r>
      <w:r>
        <w:t xml:space="preserve">прирост логарифма. Это делает модель симметричной.</w:t>
      </w:r>
    </w:p>
    <w:bookmarkEnd w:id="9"/>
    <w:bookmarkStart w:id="10" w:name="доходность-return"/>
    <w:p>
      <w:pPr>
        <w:pStyle w:val="Heading3"/>
      </w:pPr>
      <w:r>
        <w:t xml:space="preserve">Доходность (return)</w:t>
      </w:r>
    </w:p>
    <w:p>
      <w:pPr>
        <w:pStyle w:val="FirstParagraph"/>
      </w:pPr>
      <w:r>
        <w:rPr>
          <w:b/>
          <w:bCs/>
        </w:rPr>
        <w:t xml:space="preserve">Дневная доходность</w:t>
      </w:r>
      <w:r>
        <w:t xml:space="preserve"> </w:t>
      </w:r>
      <w:r>
        <w:t xml:space="preserve">— насколько цена изменилась за день, в логарифмическом виде:</w:t>
      </w:r>
    </w:p>
    <w:p>
      <w:pPr>
        <w:pStyle w:val="SourceCode"/>
      </w:pPr>
      <w:r>
        <w:rPr>
          <w:rStyle w:val="VerbatimChar"/>
        </w:rPr>
        <w:t xml:space="preserve">ret_1d = ln(P_t / P_t-1) = ln(P_t) − ln(P_t-1)</w:t>
      </w:r>
    </w:p>
    <w:p>
      <w:pPr>
        <w:pStyle w:val="FirstParagraph"/>
      </w:pPr>
      <w:r>
        <w:t xml:space="preserve">Например, если вчера медь стоила 6.30, а сегодня 6.35:</w:t>
      </w:r>
    </w:p>
    <w:p>
      <w:pPr>
        <w:pStyle w:val="SourceCode"/>
      </w:pPr>
      <w:r>
        <w:rPr>
          <w:rStyle w:val="VerbatimChar"/>
        </w:rPr>
        <w:t xml:space="preserve">ret_1d = ln(6.35 / 6.30) = ln(1.00794) ≈ +0.0079 = +0.79%</w:t>
      </w:r>
    </w:p>
    <w:p>
      <w:pPr>
        <w:pStyle w:val="FirstParagraph"/>
      </w:pPr>
      <w:r>
        <w:t xml:space="preserve">Почти все признаки строятся из цены и доходностей.</w:t>
      </w:r>
    </w:p>
    <w:bookmarkEnd w:id="10"/>
    <w:bookmarkStart w:id="11" w:name="X90b1d8cafa30b95c636ff5818a690fe401d043f"/>
    <w:p>
      <w:pPr>
        <w:pStyle w:val="Heading3"/>
      </w:pPr>
      <w:r>
        <w:t xml:space="preserve">Point-in-time (без подглядывания в будущее)</w:t>
      </w:r>
    </w:p>
    <w:p>
      <w:pPr>
        <w:pStyle w:val="FirstParagraph"/>
      </w:pPr>
      <w:r>
        <w:t xml:space="preserve">Каждый признак на день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использует</w:t>
      </w:r>
      <w:r>
        <w:t xml:space="preserve"> </w:t>
      </w:r>
      <w:r>
        <w:rPr>
          <w:b/>
          <w:bCs/>
        </w:rPr>
        <w:t xml:space="preserve">только данные до дня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</w:t>
      </w:r>
      <w:r>
        <w:rPr>
          <w:b/>
          <w:bCs/>
        </w:rPr>
        <w:t xml:space="preserve"> </w:t>
      </w:r>
      <w:r>
        <w:rPr>
          <w:b/>
          <w:bCs/>
        </w:rPr>
        <w:t xml:space="preserve">включительно</w:t>
      </w:r>
      <w:r>
        <w:t xml:space="preserve">. Модель никогда не «видит» будущее при обучении. Это гарантирует честность back-test.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группа-1.-цена-и-доходности"/>
    <w:p>
      <w:pPr>
        <w:pStyle w:val="Heading2"/>
      </w:pPr>
      <w:r>
        <w:t xml:space="preserve">Группа 1. Цена и доходности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ret_1d</w:t>
            </w:r>
          </w:p>
        </w:tc>
        <w:tc>
          <w:tcPr/>
          <w:p>
            <w:pPr>
              <w:pStyle w:val="Compact"/>
            </w:pPr>
            <w:r>
              <w:t xml:space="preserve">Дневная доходность меди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ln(P_t / P_t-1)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log_price</w:t>
            </w:r>
          </w:p>
        </w:tc>
        <w:tc>
          <w:tcPr/>
          <w:p>
            <w:pPr>
              <w:pStyle w:val="Compact"/>
            </w:pPr>
            <w:r>
              <w:t xml:space="preserve">Логарифм цены (служебный, в обучении не используется)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ln(P_t)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базовый сигнал — куда движется цена прямо сейчас.</w:t>
      </w:r>
    </w:p>
    <w:p>
      <w:r>
        <w:pict>
          <v:rect style="width:0;height:1.5pt" o:hralign="center" o:hrstd="t" o:hr="t"/>
        </w:pict>
      </w:r>
    </w:p>
    <w:bookmarkEnd w:id="13"/>
    <w:bookmarkStart w:id="14" w:name="группа-2.-лаги-запаздывающие-значения"/>
    <w:p>
      <w:pPr>
        <w:pStyle w:val="Heading2"/>
      </w:pPr>
      <w:r>
        <w:t xml:space="preserve">Группа 2. Лаги (запаздывающие значения)</w:t>
      </w:r>
    </w:p>
    <w:p>
      <w:pPr>
        <w:pStyle w:val="FirstParagraph"/>
      </w:pPr>
      <w:r>
        <w:t xml:space="preserve">«Лаг» — это значение N дней назад. Модель смотрит на доходности прошлых дней, чтобы уловить инерцию.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ret_lag_1</w:t>
            </w:r>
          </w:p>
        </w:tc>
        <w:tc>
          <w:tcPr/>
          <w:p>
            <w:pPr>
              <w:pStyle w:val="Compact"/>
            </w:pPr>
            <w:r>
              <w:t xml:space="preserve">Доходность 1 день назад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ret_lag_2</w:t>
            </w:r>
          </w:p>
        </w:tc>
        <w:tc>
          <w:tcPr/>
          <w:p>
            <w:pPr>
              <w:pStyle w:val="Compact"/>
            </w:pPr>
            <w:r>
              <w:t xml:space="preserve">Доходность 2 дня назад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ret_lag_3</w:t>
            </w:r>
          </w:p>
        </w:tc>
        <w:tc>
          <w:tcPr/>
          <w:p>
            <w:pPr>
              <w:pStyle w:val="Compact"/>
            </w:pPr>
            <w:r>
              <w:t xml:space="preserve">Доходность 3 дня назад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ret_lag_5</w:t>
            </w:r>
          </w:p>
        </w:tc>
        <w:tc>
          <w:tcPr/>
          <w:p>
            <w:pPr>
              <w:pStyle w:val="Compact"/>
            </w:pPr>
            <w:r>
              <w:t xml:space="preserve">Доходность 5 дней назад (неделя)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ret_lag_10</w:t>
            </w:r>
          </w:p>
        </w:tc>
        <w:tc>
          <w:tcPr/>
          <w:p>
            <w:pPr>
              <w:pStyle w:val="Compact"/>
            </w:pPr>
            <w:r>
              <w:t xml:space="preserve">Доходность 10 дней назад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ret_lag_20</w:t>
            </w:r>
          </w:p>
        </w:tc>
        <w:tc>
          <w:tcPr/>
          <w:p>
            <w:pPr>
              <w:pStyle w:val="Compact"/>
            </w:pPr>
            <w:r>
              <w:t xml:space="preserve">Доходность 20 дней назад (месяц)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ret_lag_60</w:t>
            </w:r>
          </w:p>
        </w:tc>
        <w:tc>
          <w:tcPr/>
          <w:p>
            <w:pPr>
              <w:pStyle w:val="Compact"/>
            </w:pPr>
            <w:r>
              <w:t xml:space="preserve">Доходность 60 дней назад (квартал)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log_price_lag_1</w:t>
            </w:r>
          </w:p>
        </w:tc>
        <w:tc>
          <w:tcPr/>
          <w:p>
            <w:pPr>
              <w:pStyle w:val="Compact"/>
            </w:pPr>
            <w:r>
              <w:t xml:space="preserve">Логарифм цены 1 день назад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log_price_lag_5</w:t>
            </w:r>
          </w:p>
        </w:tc>
        <w:tc>
          <w:tcPr/>
          <w:p>
            <w:pPr>
              <w:pStyle w:val="Compact"/>
            </w:pPr>
            <w:r>
              <w:t xml:space="preserve">Логарифм цены 5 дней назад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log_price_lag_20</w:t>
            </w:r>
          </w:p>
        </w:tc>
        <w:tc>
          <w:tcPr/>
          <w:p>
            <w:pPr>
              <w:pStyle w:val="Compact"/>
            </w:pPr>
            <w:r>
              <w:t xml:space="preserve">Логарифм цены 20 дней назад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Формула лага:</w:t>
      </w:r>
      <w:r>
        <w:t xml:space="preserve"> </w:t>
      </w:r>
      <w:r>
        <w:rPr>
          <w:rStyle w:val="VerbatimChar"/>
        </w:rPr>
        <w:t xml:space="preserve">ret_lag_k = ret_(t-k)</w:t>
      </w:r>
      <w:r>
        <w:t xml:space="preserve"> </w:t>
      </w:r>
      <w:r>
        <w:t xml:space="preserve">— просто доходность, сдвинутая на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дней.</w:t>
      </w:r>
    </w:p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если медь росла несколько дней подряд — это паттерн, который XGBoost может уловить.</w:t>
      </w:r>
    </w:p>
    <w:p>
      <w:r>
        <w:pict>
          <v:rect style="width:0;height:1.5pt" o:hralign="center" o:hrstd="t" o:hr="t"/>
        </w:pict>
      </w:r>
    </w:p>
    <w:bookmarkEnd w:id="14"/>
    <w:bookmarkStart w:id="17" w:name="группа-3.-скользящие-средние-sma"/>
    <w:p>
      <w:pPr>
        <w:pStyle w:val="Heading2"/>
      </w:pPr>
      <w:r>
        <w:t xml:space="preserve">Группа 3. Скользящие средние (SMA)</w:t>
      </w:r>
    </w:p>
    <w:p>
      <w:pPr>
        <w:pStyle w:val="FirstParagraph"/>
      </w:pPr>
      <w:r>
        <w:rPr>
          <w:b/>
          <w:bCs/>
        </w:rPr>
        <w:t xml:space="preserve">SMA</w:t>
      </w:r>
      <w:r>
        <w:t xml:space="preserve"> </w:t>
      </w:r>
      <w:r>
        <w:t xml:space="preserve">(Simple Moving Average) — среднее значение цены за последние N дней. Сглаживает шум и показывает тренд.</w:t>
      </w:r>
    </w:p>
    <w:bookmarkStart w:id="15" w:name="как-считается-sma_5"/>
    <w:p>
      <w:pPr>
        <w:pStyle w:val="Heading3"/>
      </w:pPr>
      <w:r>
        <w:t xml:space="preserve">Как считается SMA_5</w:t>
      </w:r>
    </w:p>
    <w:p>
      <w:pPr>
        <w:pStyle w:val="SourceCode"/>
      </w:pPr>
      <w:r>
        <w:rPr>
          <w:rStyle w:val="VerbatimChar"/>
        </w:rPr>
        <w:t xml:space="preserve">SMA_5(t) = (P_t + P_t-1 + P_t-2 + P_t-3 + P_t-4) / 5</w:t>
      </w:r>
    </w:p>
    <w:p>
      <w:pPr>
        <w:pStyle w:val="FirstParagraph"/>
      </w:pPr>
      <w:r>
        <w:t xml:space="preserve">То есть берём цену сегодня и за 4 предыдущих дня, складываем, делим на 5.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цены за 5 дней были 6.30, 6.32, 6.28, 6.35, 6.40.</w:t>
      </w:r>
    </w:p>
    <w:p>
      <w:pPr>
        <w:pStyle w:val="SourceCode"/>
      </w:pPr>
      <w:r>
        <w:rPr>
          <w:rStyle w:val="VerbatimChar"/>
        </w:rPr>
        <w:t xml:space="preserve">SMA_5 = (6.40 + 6.35 + 6.28 + 6.32 + 6.30) / 5 = 31.65 / 5 = 6.33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Окно усреднения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sma_5</w:t>
            </w:r>
          </w:p>
        </w:tc>
        <w:tc>
          <w:tcPr/>
          <w:p>
            <w:pPr>
              <w:pStyle w:val="Compact"/>
            </w:pPr>
            <w:r>
              <w:t xml:space="preserve">5 дней (неделя)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sma_10</w:t>
            </w:r>
          </w:p>
        </w:tc>
        <w:tc>
          <w:tcPr/>
          <w:p>
            <w:pPr>
              <w:pStyle w:val="Compact"/>
            </w:pPr>
            <w:r>
              <w:t xml:space="preserve">10 дней (2 недели)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sma_20</w:t>
            </w:r>
          </w:p>
        </w:tc>
        <w:tc>
          <w:tcPr/>
          <w:p>
            <w:pPr>
              <w:pStyle w:val="Compact"/>
            </w:pPr>
            <w:r>
              <w:t xml:space="preserve">20 дней (месяц)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sma_60</w:t>
            </w:r>
          </w:p>
        </w:tc>
        <w:tc>
          <w:tcPr/>
          <w:p>
            <w:pPr>
              <w:pStyle w:val="Compact"/>
            </w:pPr>
            <w:r>
              <w:t xml:space="preserve">60 дней (квартал)</w:t>
            </w:r>
          </w:p>
        </w:tc>
      </w:tr>
    </w:tbl>
    <w:bookmarkEnd w:id="15"/>
    <w:bookmarkStart w:id="16" w:name="производные-от-sma"/>
    <w:p>
      <w:pPr>
        <w:pStyle w:val="Heading3"/>
      </w:pPr>
      <w:r>
        <w:t xml:space="preserve">Производные от SMA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price_to_sma_5</w:t>
            </w:r>
          </w:p>
        </w:tc>
        <w:tc>
          <w:tcPr/>
          <w:p>
            <w:pPr>
              <w:pStyle w:val="Compact"/>
            </w:pPr>
            <w:r>
              <w:t xml:space="preserve">Насколько цена выше/ниже своего 5-дн. среднего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P_t / SMA_5 − 1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price_to_sma_10</w:t>
            </w:r>
          </w:p>
        </w:tc>
        <w:tc>
          <w:tcPr/>
          <w:p>
            <w:pPr>
              <w:pStyle w:val="Compact"/>
            </w:pPr>
            <w:r>
              <w:t xml:space="preserve">То же для 10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P_t / SMA_10 − 1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price_to_sma_20</w:t>
            </w:r>
          </w:p>
        </w:tc>
        <w:tc>
          <w:tcPr/>
          <w:p>
            <w:pPr>
              <w:pStyle w:val="Compact"/>
            </w:pPr>
            <w:r>
              <w:t xml:space="preserve">То же для 20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P_t / SMA_20 − 1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price_to_sma_60</w:t>
            </w:r>
          </w:p>
        </w:tc>
        <w:tc>
          <w:tcPr/>
          <w:p>
            <w:pPr>
              <w:pStyle w:val="Compact"/>
            </w:pPr>
            <w:r>
              <w:t xml:space="preserve">То же для 60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P_t / SMA_60 − 1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sma_5_20</w:t>
            </w:r>
          </w:p>
        </w:tc>
        <w:tc>
          <w:tcPr/>
          <w:p>
            <w:pPr>
              <w:pStyle w:val="Compact"/>
            </w:pPr>
            <w:r>
              <w:t xml:space="preserve">Краткосрочный тренд: SMA-5 относительно SMA-20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SMA_5 / SMA_20 − 1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sma_20_60</w:t>
            </w:r>
          </w:p>
        </w:tc>
        <w:tc>
          <w:tcPr/>
          <w:p>
            <w:pPr>
              <w:pStyle w:val="Compact"/>
            </w:pPr>
            <w:r>
              <w:t xml:space="preserve">Среднесрочный тренд: SMA-20 относительно SMA-60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SMA_20 / SMA_60 − 1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Зачем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sma_5_20</w:t>
      </w:r>
      <w:r>
        <w:rPr>
          <w:b/>
          <w:bCs/>
        </w:rPr>
        <w:t xml:space="preserve">:</w:t>
      </w:r>
      <w:r>
        <w:t xml:space="preserve"> </w:t>
      </w:r>
      <w:r>
        <w:t xml:space="preserve">классический сигнал трейдеров. Когда короткое среднее (5 дней) выше длинного (20 дней) — восходящий тренд. Пересечение «снизу вверх» — сигнал к покупке (golden cross).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группа-4.-волатильность"/>
    <w:p>
      <w:pPr>
        <w:pStyle w:val="Heading2"/>
      </w:pPr>
      <w:r>
        <w:t xml:space="preserve">Группа 4. Волатильность</w:t>
      </w:r>
    </w:p>
    <w:p>
      <w:pPr>
        <w:pStyle w:val="FirstParagraph"/>
      </w:pPr>
      <w:r>
        <w:rPr>
          <w:b/>
          <w:bCs/>
        </w:rPr>
        <w:t xml:space="preserve">Волатильность</w:t>
      </w:r>
      <w:r>
        <w:t xml:space="preserve"> </w:t>
      </w:r>
      <w:r>
        <w:t xml:space="preserve">— насколько сильно «скачет» цена. Чем выше — тем рискованнее.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vol_10</w:t>
            </w:r>
          </w:p>
        </w:tc>
        <w:tc>
          <w:tcPr/>
          <w:p>
            <w:pPr>
              <w:pStyle w:val="Compact"/>
            </w:pPr>
            <w:r>
              <w:t xml:space="preserve">Годовая волатильность за последние 10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vol_20</w:t>
            </w:r>
          </w:p>
        </w:tc>
        <w:tc>
          <w:tcPr/>
          <w:p>
            <w:pPr>
              <w:pStyle w:val="Compact"/>
            </w:pPr>
            <w:r>
              <w:t xml:space="preserve">За 20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vol_60</w:t>
            </w:r>
          </w:p>
        </w:tc>
        <w:tc>
          <w:tcPr/>
          <w:p>
            <w:pPr>
              <w:pStyle w:val="Compact"/>
            </w:pPr>
            <w:r>
              <w:t xml:space="preserve">За 60 дней</w:t>
            </w:r>
          </w:p>
        </w:tc>
      </w:tr>
    </w:tbl>
    <w:bookmarkStart w:id="18" w:name="формула"/>
    <w:p>
      <w:pPr>
        <w:pStyle w:val="Heading3"/>
      </w:pPr>
      <w:r>
        <w:t xml:space="preserve">Формула</w:t>
      </w:r>
    </w:p>
    <w:p>
      <w:pPr>
        <w:pStyle w:val="SourceCode"/>
      </w:pPr>
      <w:r>
        <w:rPr>
          <w:rStyle w:val="VerbatimChar"/>
        </w:rPr>
        <w:t xml:space="preserve">vol_w(t) = СтандартноеОтклонение(ret_t-w+1, …, ret_t) × √252</w:t>
      </w:r>
    </w:p>
    <w:p>
      <w:pPr>
        <w:pStyle w:val="FirstParagraph"/>
      </w:pPr>
      <w:r>
        <w:t xml:space="preserve">Берём дневные доходности за окно</w:t>
      </w:r>
      <w:r>
        <w:t xml:space="preserve"> </w:t>
      </w:r>
      <w:r>
        <w:rPr>
          <w:rStyle w:val="VerbatimChar"/>
        </w:rPr>
        <w:t xml:space="preserve">w</w:t>
      </w:r>
      <w:r>
        <w:t xml:space="preserve">, считаем их стандартное отклонение (разброс), умножаем на √252 (число торговых дней в году) — чтобы получить</w:t>
      </w:r>
      <w:r>
        <w:t xml:space="preserve"> </w:t>
      </w:r>
      <w:r>
        <w:rPr>
          <w:b/>
          <w:bCs/>
        </w:rPr>
        <w:t xml:space="preserve">годовую</w:t>
      </w:r>
      <w:r>
        <w:t xml:space="preserve"> </w:t>
      </w:r>
      <w:r>
        <w:t xml:space="preserve">волатильность.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дневные доходности скакали со стандартным отклонением 1.5%, то годовая волатильность ≈ 1.5% × √252 ≈ 1.5% × 15.87 ≈</w:t>
      </w:r>
      <w:r>
        <w:t xml:space="preserve"> </w:t>
      </w:r>
      <w:r>
        <w:rPr>
          <w:b/>
          <w:bCs/>
        </w:rPr>
        <w:t xml:space="preserve">24%</w:t>
      </w:r>
      <w:r>
        <w:t xml:space="preserve">. Это типичная волатильность меди.</w:t>
      </w:r>
    </w:p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в периоды высокой волатильности модель расширяет коридор прогноза (p10-p90).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группа-5.-моментум"/>
    <w:p>
      <w:pPr>
        <w:pStyle w:val="Heading2"/>
      </w:pPr>
      <w:r>
        <w:t xml:space="preserve">Группа 5. Моментум</w:t>
      </w:r>
    </w:p>
    <w:p>
      <w:pPr>
        <w:pStyle w:val="FirstParagraph"/>
      </w:pPr>
      <w:r>
        <w:rPr>
          <w:b/>
          <w:bCs/>
        </w:rPr>
        <w:t xml:space="preserve">Моментум</w:t>
      </w:r>
      <w:r>
        <w:t xml:space="preserve"> </w:t>
      </w:r>
      <w:r>
        <w:t xml:space="preserve">— накопленное изменение цены за период. Показывает силу тренда.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mom_5</w:t>
            </w:r>
          </w:p>
        </w:tc>
        <w:tc>
          <w:tcPr/>
          <w:p>
            <w:pPr>
              <w:pStyle w:val="Compact"/>
            </w:pPr>
            <w:r>
              <w:t xml:space="preserve">Изменение за 5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ln(P_t / P_t-5)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mom_10</w:t>
            </w:r>
          </w:p>
        </w:tc>
        <w:tc>
          <w:tcPr/>
          <w:p>
            <w:pPr>
              <w:pStyle w:val="Compact"/>
            </w:pPr>
            <w:r>
              <w:t xml:space="preserve">За 10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ln(P_t / P_t-10)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mom_20</w:t>
            </w:r>
          </w:p>
        </w:tc>
        <w:tc>
          <w:tcPr/>
          <w:p>
            <w:pPr>
              <w:pStyle w:val="Compact"/>
            </w:pPr>
            <w:r>
              <w:t xml:space="preserve">За 20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ln(P_t / P_t-20)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mom_60</w:t>
            </w:r>
          </w:p>
        </w:tc>
        <w:tc>
          <w:tcPr/>
          <w:p>
            <w:pPr>
              <w:pStyle w:val="Compact"/>
            </w:pPr>
            <w:r>
              <w:t xml:space="preserve">За 60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ln(P_t / P_t-60)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«тренд — твой друг». Сильный положительный моментум часто продолжается ещё некоторое время.</w:t>
      </w:r>
    </w:p>
    <w:p>
      <w:r>
        <w:pict>
          <v:rect style="width:0;height:1.5pt" o:hralign="center" o:hrstd="t" o:hr="t"/>
        </w:pict>
      </w:r>
    </w:p>
    <w:bookmarkEnd w:id="20"/>
    <w:bookmarkStart w:id="25" w:name="группа-6.-технические-индикаторы"/>
    <w:p>
      <w:pPr>
        <w:pStyle w:val="Heading2"/>
      </w:pPr>
      <w:r>
        <w:t xml:space="preserve">Группа 6. Технические индикаторы</w:t>
      </w:r>
    </w:p>
    <w:p>
      <w:pPr>
        <w:pStyle w:val="FirstParagraph"/>
      </w:pPr>
      <w:r>
        <w:t xml:space="preserve">Классические индикаторы, которыми пользуются трейдеры.</w:t>
      </w:r>
    </w:p>
    <w:bookmarkStart w:id="21" w:name="rsi14-индекс-относительной-силы"/>
    <w:p>
      <w:pPr>
        <w:pStyle w:val="Heading3"/>
      </w:pPr>
      <w:r>
        <w:t xml:space="preserve">RSI(14) — индекс относительной силы</w:t>
      </w:r>
    </w:p>
    <w:p>
      <w:pPr>
        <w:pStyle w:val="FirstParagraph"/>
      </w:pPr>
      <w:r>
        <w:rPr>
          <w:rStyle w:val="VerbatimChar"/>
        </w:rPr>
        <w:t xml:space="preserve">rsi_14</w:t>
      </w:r>
      <w:r>
        <w:t xml:space="preserve"> </w:t>
      </w:r>
      <w:r>
        <w:t xml:space="preserve">— число от 0 до 100. Показывает, насколько актив «перекуплен» или «перепродан».</w:t>
      </w:r>
    </w:p>
    <w:p>
      <w:pPr>
        <w:pStyle w:val="BodyText"/>
      </w:pPr>
      <w:r>
        <w:rPr>
          <w:b/>
          <w:bCs/>
        </w:rPr>
        <w:t xml:space="preserve">Как считается (упрощённо):</w:t>
      </w:r>
      <w:r>
        <w:t xml:space="preserve"> </w:t>
      </w:r>
      <w:r>
        <w:t xml:space="preserve">1. За 14 дней отдельно усредняем дни роста (gain) и дни падения (loss).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RS = средний рост / среднее падение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RSI = 100 − 100/(1 + RS)</w:t>
      </w:r>
    </w:p>
    <w:p>
      <w:pPr>
        <w:pStyle w:val="BodyText"/>
      </w:pPr>
      <w:r>
        <w:rPr>
          <w:b/>
          <w:bCs/>
        </w:rPr>
        <w:t xml:space="preserve">Как читать: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RSI &gt; 70</w:t>
      </w:r>
      <w:r>
        <w:t xml:space="preserve"> </w:t>
      </w:r>
      <w:r>
        <w:t xml:space="preserve">— перекупленность (цена выросла слишком быстро, возможна коррекция вниз).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RSI &lt; 30</w:t>
      </w:r>
      <w:r>
        <w:t xml:space="preserve"> </w:t>
      </w:r>
      <w:r>
        <w:t xml:space="preserve">— перепроданность (возможен отскок вверх).</w:t>
      </w:r>
      <w:r>
        <w:t xml:space="preserve"> </w:t>
      </w:r>
      <w:r>
        <w:t xml:space="preserve">- RSI ≈ 50 — нейтрально.</w:t>
      </w:r>
    </w:p>
    <w:bookmarkEnd w:id="21"/>
    <w:bookmarkStart w:id="22" w:name="macd12-26-9"/>
    <w:p>
      <w:pPr>
        <w:pStyle w:val="Heading3"/>
      </w:pPr>
      <w:r>
        <w:t xml:space="preserve">MACD(12, 26, 9)</w:t>
      </w:r>
    </w:p>
    <w:p>
      <w:pPr>
        <w:pStyle w:val="FirstParagraph"/>
      </w:pPr>
      <w:r>
        <w:t xml:space="preserve">Три признака, показывают развороты тренда через разность скользящих средних.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</w:t>
            </w:r>
          </w:p>
        </w:tc>
        <w:tc>
          <w:tcPr/>
          <w:p>
            <w:pPr>
              <w:pStyle w:val="Compact"/>
            </w:pPr>
            <w:r>
              <w:t xml:space="preserve">Разница быстрой и медленной экспоненциальных средних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EMA_12 − EMA_26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macd_signal</w:t>
            </w:r>
          </w:p>
        </w:tc>
        <w:tc>
          <w:tcPr/>
          <w:p>
            <w:pPr>
              <w:pStyle w:val="Compact"/>
            </w:pPr>
            <w:r>
              <w:t xml:space="preserve">Сглаженный MACD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EMA_9(macd)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macd_hist</w:t>
            </w:r>
          </w:p>
        </w:tc>
        <w:tc>
          <w:tcPr/>
          <w:p>
            <w:pPr>
              <w:pStyle w:val="Compact"/>
            </w:pPr>
            <w:r>
              <w:t xml:space="preserve">Гистограмма (разница MACD и сигнала)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 − macd_signal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читать:</w:t>
      </w:r>
      <w:r>
        <w:t xml:space="preserve"> </w:t>
      </w:r>
      <w:r>
        <w:t xml:space="preserve">когда</w:t>
      </w:r>
      <w:r>
        <w:t xml:space="preserve"> </w:t>
      </w:r>
      <w:r>
        <w:rPr>
          <w:rStyle w:val="VerbatimChar"/>
        </w:rPr>
        <w:t xml:space="preserve">macd_hist</w:t>
      </w:r>
      <w:r>
        <w:t xml:space="preserve"> </w:t>
      </w:r>
      <w:r>
        <w:t xml:space="preserve">пересекает ноль снизу вверх — бычий сигнал; сверху вниз — медвежий.</w:t>
      </w:r>
    </w:p>
    <w:bookmarkEnd w:id="22"/>
    <w:bookmarkStart w:id="23" w:name="bollinger-b20-2"/>
    <w:p>
      <w:pPr>
        <w:pStyle w:val="Heading3"/>
      </w:pPr>
      <w:r>
        <w:t xml:space="preserve">Bollinger %B(20, 2)</w:t>
      </w:r>
    </w:p>
    <w:p>
      <w:pPr>
        <w:pStyle w:val="FirstParagraph"/>
      </w:pPr>
      <w:r>
        <w:rPr>
          <w:rStyle w:val="VerbatimChar"/>
        </w:rPr>
        <w:t xml:space="preserve">bbpctb_20</w:t>
      </w:r>
      <w:r>
        <w:t xml:space="preserve"> </w:t>
      </w:r>
      <w:r>
        <w:t xml:space="preserve">— где находится цена внутри «полос Боллинджера» (среднее ±2 стандартных отклонения за 20 дней).</w:t>
      </w:r>
    </w:p>
    <w:p>
      <w:pPr>
        <w:pStyle w:val="SourceCode"/>
      </w:pPr>
      <w:r>
        <w:rPr>
          <w:rStyle w:val="VerbatimChar"/>
        </w:rPr>
        <w:t xml:space="preserve">Верхняя полоса = SMA_20 + 2σ</w:t>
      </w:r>
      <w:r>
        <w:br/>
      </w:r>
      <w:r>
        <w:rPr>
          <w:rStyle w:val="VerbatimChar"/>
        </w:rPr>
        <w:t xml:space="preserve">Нижняя полоса  = SMA_20 − 2σ</w:t>
      </w:r>
      <w:r>
        <w:br/>
      </w:r>
      <w:r>
        <w:rPr>
          <w:rStyle w:val="VerbatimChar"/>
        </w:rPr>
        <w:t xml:space="preserve">%B = (P_t − Нижняя) / (Верхняя − Нижняя)</w:t>
      </w:r>
    </w:p>
    <w:p>
      <w:pPr>
        <w:pStyle w:val="FirstParagraph"/>
      </w:pPr>
      <w:r>
        <w:rPr>
          <w:b/>
          <w:bCs/>
        </w:rPr>
        <w:t xml:space="preserve">Как читать: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%B &gt; 1</w:t>
      </w:r>
      <w:r>
        <w:t xml:space="preserve"> </w:t>
      </w:r>
      <w:r>
        <w:t xml:space="preserve">— цена выше верхней полосы (сильный рост, возможен откат).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%B &lt; 0</w:t>
      </w:r>
      <w:r>
        <w:t xml:space="preserve"> </w:t>
      </w:r>
      <w:r>
        <w:t xml:space="preserve">— ниже нижней полосы (сильное падение, возможен отскок).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%B = 0.5</w:t>
      </w:r>
      <w:r>
        <w:t xml:space="preserve"> </w:t>
      </w:r>
      <w:r>
        <w:t xml:space="preserve">— цена ровно на среднем.</w:t>
      </w:r>
    </w:p>
    <w:bookmarkEnd w:id="23"/>
    <w:bookmarkStart w:id="24" w:name="atr14-средний-истинный-диапазон"/>
    <w:p>
      <w:pPr>
        <w:pStyle w:val="Heading3"/>
      </w:pPr>
      <w:r>
        <w:t xml:space="preserve">ATR(14) — средний истинный диапазон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atr_14</w:t>
            </w:r>
          </w:p>
        </w:tc>
        <w:tc>
          <w:tcPr/>
          <w:p>
            <w:pPr>
              <w:pStyle w:val="Compact"/>
            </w:pPr>
            <w:r>
              <w:t xml:space="preserve">Средний размер дневного диапазона (high-low) за 14 дней, в абсолютных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atr_rel</w:t>
            </w:r>
          </w:p>
        </w:tc>
        <w:tc>
          <w:tcPr/>
          <w:p>
            <w:pPr>
              <w:pStyle w:val="Compact"/>
            </w:pPr>
            <w:r>
              <w:t xml:space="preserve">То же, но в % от цены (</w:t>
            </w:r>
            <w:r>
              <w:rPr>
                <w:rStyle w:val="VerbatimChar"/>
              </w:rPr>
              <w:t xml:space="preserve">atr_14 / P_t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мера абсолютной волатильности. Используется для калибровки коридоров и стоп-лоссов.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c1d738424def5b286da6b5a8a63d83116f75f79"/>
    <w:p>
      <w:pPr>
        <w:pStyle w:val="Heading2"/>
      </w:pPr>
      <w:r>
        <w:t xml:space="preserve">Группа 7. Кросс-активные признаки (14 активов)</w:t>
      </w:r>
    </w:p>
    <w:p>
      <w:pPr>
        <w:pStyle w:val="FirstParagraph"/>
      </w:pPr>
      <w:r>
        <w:t xml:space="preserve">Для каждого из</w:t>
      </w:r>
      <w:r>
        <w:t xml:space="preserve"> </w:t>
      </w:r>
      <w:r>
        <w:rPr>
          <w:b/>
          <w:bCs/>
        </w:rPr>
        <w:t xml:space="preserve">14 связанных активов</w:t>
      </w:r>
      <w:r>
        <w:t xml:space="preserve"> </w:t>
      </w:r>
      <w:r>
        <w:t xml:space="preserve">считаются 5 признаков. Это самая большая группа (~70 признаков).</w:t>
      </w:r>
    </w:p>
    <w:bookmarkStart w:id="26" w:name="список-активов"/>
    <w:p>
      <w:pPr>
        <w:pStyle w:val="Heading3"/>
      </w:pPr>
      <w:r>
        <w:t xml:space="preserve">Список активов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Актив</w:t>
            </w:r>
          </w:p>
        </w:tc>
        <w:tc>
          <w:tcPr/>
          <w:p>
            <w:pPr>
              <w:pStyle w:val="Compact"/>
            </w:pPr>
            <w:r>
              <w:t xml:space="preserve">Связь с медью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dxy</w:t>
            </w:r>
          </w:p>
        </w:tc>
        <w:tc>
          <w:tcPr/>
          <w:p>
            <w:pPr>
              <w:pStyle w:val="Compact"/>
            </w:pPr>
            <w:r>
              <w:t xml:space="preserve">Доллар (DXY)</w:t>
            </w:r>
          </w:p>
        </w:tc>
        <w:tc>
          <w:tcPr/>
          <w:p>
            <w:pPr>
              <w:pStyle w:val="Compact"/>
            </w:pPr>
            <w:r>
              <w:t xml:space="preserve">Обратная: доллар ↑ → медь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wti</w:t>
            </w:r>
          </w:p>
        </w:tc>
        <w:tc>
          <w:tcPr/>
          <w:p>
            <w:pPr>
              <w:pStyle w:val="Compact"/>
            </w:pPr>
            <w:r>
              <w:t xml:space="preserve">Нефть WTI</w:t>
            </w:r>
          </w:p>
        </w:tc>
        <w:tc>
          <w:tcPr/>
          <w:p>
            <w:pPr>
              <w:pStyle w:val="Compact"/>
            </w:pPr>
            <w:r>
              <w:t xml:space="preserve">Прямая (товарный цикл)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</w:pPr>
            <w:r>
              <w:t xml:space="preserve">Прямая (инфляция)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Серебро</w:t>
            </w:r>
          </w:p>
        </w:tc>
        <w:tc>
          <w:tcPr/>
          <w:p>
            <w:pPr>
              <w:pStyle w:val="Compact"/>
            </w:pPr>
            <w:r>
              <w:t xml:space="preserve">Прямая (промышленный кузен)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sp500</w:t>
            </w:r>
          </w:p>
        </w:tc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Прямая (risk-on)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us10y</w:t>
            </w:r>
          </w:p>
        </w:tc>
        <w:tc>
          <w:tcPr/>
          <w:p>
            <w:pPr>
              <w:pStyle w:val="Compact"/>
            </w:pPr>
            <w:r>
              <w:t xml:space="preserve">Доходность US 10Y</w:t>
            </w:r>
          </w:p>
        </w:tc>
        <w:tc>
          <w:tcPr/>
          <w:p>
            <w:pPr>
              <w:pStyle w:val="Compact"/>
            </w:pPr>
            <w:r>
              <w:t xml:space="preserve">Сложная (через DXY)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audusd</w:t>
            </w:r>
          </w:p>
        </w:tc>
        <w:tc>
          <w:tcPr/>
          <w:p>
            <w:pPr>
              <w:pStyle w:val="Compact"/>
            </w:pPr>
            <w:r>
              <w:t xml:space="preserve">Австралийский доллар</w:t>
            </w:r>
          </w:p>
        </w:tc>
        <w:tc>
          <w:tcPr/>
          <w:p>
            <w:pPr>
              <w:pStyle w:val="Compact"/>
            </w:pPr>
            <w:r>
              <w:t xml:space="preserve">Прямая (Австралия — крупный экспортёр)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usdclp</w:t>
            </w:r>
          </w:p>
        </w:tc>
        <w:tc>
          <w:tcPr/>
          <w:p>
            <w:pPr>
              <w:pStyle w:val="Compact"/>
            </w:pPr>
            <w:r>
              <w:t xml:space="preserve">Чилийский песо</w:t>
            </w:r>
          </w:p>
        </w:tc>
        <w:tc>
          <w:tcPr/>
          <w:p>
            <w:pPr>
              <w:pStyle w:val="Compact"/>
            </w:pPr>
            <w:r>
              <w:t xml:space="preserve">Обратная (Чили — №1 производитель)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usdcny</w:t>
            </w:r>
          </w:p>
        </w:tc>
        <w:tc>
          <w:tcPr/>
          <w:p>
            <w:pPr>
              <w:pStyle w:val="Compact"/>
            </w:pPr>
            <w:r>
              <w:t xml:space="preserve">Китайский юань</w:t>
            </w:r>
          </w:p>
        </w:tc>
        <w:tc>
          <w:tcPr/>
          <w:p>
            <w:pPr>
              <w:pStyle w:val="Compact"/>
            </w:pPr>
            <w:r>
              <w:t xml:space="preserve">Сложная (Китай — №1 потребитель)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copx</w:t>
            </w:r>
          </w:p>
        </w:tc>
        <w:tc>
          <w:tcPr/>
          <w:p>
            <w:pPr>
              <w:pStyle w:val="Compact"/>
            </w:pPr>
            <w:r>
              <w:t xml:space="preserve">ETF медных майнеров</w:t>
            </w:r>
          </w:p>
        </w:tc>
        <w:tc>
          <w:tcPr/>
          <w:p>
            <w:pPr>
              <w:pStyle w:val="Compact"/>
            </w:pPr>
            <w:r>
              <w:t xml:space="preserve">Прямая (опережающий сигнал)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</w:t>
            </w:r>
          </w:p>
        </w:tc>
        <w:tc>
          <w:tcPr/>
          <w:p>
            <w:pPr>
              <w:pStyle w:val="Compact"/>
            </w:pPr>
            <w:r>
              <w:t xml:space="preserve">ETF металлов и добычи</w:t>
            </w:r>
          </w:p>
        </w:tc>
        <w:tc>
          <w:tcPr/>
          <w:p>
            <w:pPr>
              <w:pStyle w:val="Compact"/>
            </w:pPr>
            <w:r>
              <w:t xml:space="preserve">Прямая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slx</w:t>
            </w:r>
          </w:p>
        </w:tc>
        <w:tc>
          <w:tcPr/>
          <w:p>
            <w:pPr>
              <w:pStyle w:val="Compact"/>
            </w:pPr>
            <w:r>
              <w:t xml:space="preserve">ETF сталелитейщиков</w:t>
            </w:r>
          </w:p>
        </w:tc>
        <w:tc>
          <w:tcPr/>
          <w:p>
            <w:pPr>
              <w:pStyle w:val="Compact"/>
            </w:pPr>
            <w:r>
              <w:t xml:space="preserve">Прямая (промышленный спрос)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Индекс страха</w:t>
            </w:r>
          </w:p>
        </w:tc>
        <w:tc>
          <w:tcPr/>
          <w:p>
            <w:pPr>
              <w:pStyle w:val="Compact"/>
            </w:pPr>
            <w:r>
              <w:t xml:space="preserve">Обратная (страх → распродажа)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bdry</w:t>
            </w:r>
          </w:p>
        </w:tc>
        <w:tc>
          <w:tcPr/>
          <w:p>
            <w:pPr>
              <w:pStyle w:val="Compact"/>
            </w:pPr>
            <w:r>
              <w:t xml:space="preserve">Ставки фрахта (Baltic Dry)</w:t>
            </w:r>
          </w:p>
        </w:tc>
        <w:tc>
          <w:tcPr/>
          <w:p>
            <w:pPr>
              <w:pStyle w:val="Compact"/>
            </w:pPr>
            <w:r>
              <w:t xml:space="preserve">Прямая (мировой грузопоток)</w:t>
            </w:r>
          </w:p>
        </w:tc>
      </w:tr>
    </w:tbl>
    <w:bookmarkEnd w:id="26"/>
    <w:bookmarkStart w:id="27" w:name="признаков-на-каждый-актив"/>
    <w:p>
      <w:pPr>
        <w:pStyle w:val="Heading3"/>
      </w:pPr>
      <w:r>
        <w:t xml:space="preserve">5 признаков на каждый актив</w:t>
      </w:r>
    </w:p>
    <w:p>
      <w:pPr>
        <w:pStyle w:val="FirstParagraph"/>
      </w:pPr>
      <w:r>
        <w:t xml:space="preserve">На примере доллара (</w:t>
      </w:r>
      <w:r>
        <w:rPr>
          <w:rStyle w:val="VerbatimChar"/>
        </w:rPr>
        <w:t xml:space="preserve">dxy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dxy_ret_1d</w:t>
            </w:r>
          </w:p>
        </w:tc>
        <w:tc>
          <w:tcPr/>
          <w:p>
            <w:pPr>
              <w:pStyle w:val="Compact"/>
            </w:pPr>
            <w:r>
              <w:t xml:space="preserve">Изменение доллара за 1 день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ln(DXY_t / DXY_t-1)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dxy_ret_5d</w:t>
            </w:r>
          </w:p>
        </w:tc>
        <w:tc>
          <w:tcPr/>
          <w:p>
            <w:pPr>
              <w:pStyle w:val="Compact"/>
            </w:pPr>
            <w:r>
              <w:t xml:space="preserve">За 5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ln(DXY_t / DXY_t-5)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dxy_ret_20d</w:t>
            </w:r>
          </w:p>
        </w:tc>
        <w:tc>
          <w:tcPr/>
          <w:p>
            <w:pPr>
              <w:pStyle w:val="Compact"/>
            </w:pPr>
            <w:r>
              <w:t xml:space="preserve">За 20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ln(DXY_t / DXY_t-20)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dxy_vol_20</w:t>
            </w:r>
          </w:p>
        </w:tc>
        <w:tc>
          <w:tcPr/>
          <w:p>
            <w:pPr>
              <w:pStyle w:val="Compact"/>
            </w:pPr>
            <w:r>
              <w:t xml:space="preserve">Волатильность доллара за 20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std(дн. доходностей) × √252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corr_cu_dxy_60</w:t>
            </w:r>
          </w:p>
        </w:tc>
        <w:tc>
          <w:tcPr/>
          <w:p>
            <w:pPr>
              <w:pStyle w:val="Compact"/>
            </w:pPr>
            <w:r>
              <w:t xml:space="preserve">Скользящая корреляция меди и доллара за 60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corr(ret_медь, ret_dxy)</w:t>
            </w:r>
            <w:r>
              <w:t xml:space="preserve"> </w:t>
            </w:r>
            <w:r>
              <w:t xml:space="preserve">за окно 60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То же самое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wti_*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gold_*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silver_*</w:t>
      </w:r>
      <w:r>
        <w:t xml:space="preserve">,</w:t>
      </w:r>
      <w:r>
        <w:t xml:space="preserve"> </w:t>
      </w:r>
      <w:r>
        <w:rPr>
          <w:rStyle w:val="VerbatimChar"/>
        </w:rPr>
        <w:t xml:space="preserve">sp500_*</w:t>
      </w:r>
      <w:r>
        <w:t xml:space="preserve">,</w:t>
      </w:r>
      <w:r>
        <w:t xml:space="preserve"> </w:t>
      </w:r>
      <w:r>
        <w:rPr>
          <w:rStyle w:val="VerbatimChar"/>
        </w:rPr>
        <w:t xml:space="preserve">us10y_*</w:t>
      </w:r>
      <w:r>
        <w:t xml:space="preserve">,</w:t>
      </w:r>
      <w:r>
        <w:t xml:space="preserve"> </w:t>
      </w:r>
      <w:r>
        <w:rPr>
          <w:rStyle w:val="VerbatimChar"/>
        </w:rPr>
        <w:t xml:space="preserve">audusd_*</w:t>
      </w:r>
      <w:r>
        <w:t xml:space="preserve">,</w:t>
      </w:r>
      <w:r>
        <w:t xml:space="preserve"> </w:t>
      </w:r>
      <w:r>
        <w:rPr>
          <w:rStyle w:val="VerbatimChar"/>
        </w:rPr>
        <w:t xml:space="preserve">usdclp_*</w:t>
      </w:r>
      <w:r>
        <w:t xml:space="preserve">,</w:t>
      </w:r>
      <w:r>
        <w:t xml:space="preserve"> </w:t>
      </w:r>
      <w:r>
        <w:rPr>
          <w:rStyle w:val="VerbatimChar"/>
        </w:rPr>
        <w:t xml:space="preserve">usdcny_*</w:t>
      </w:r>
      <w:r>
        <w:t xml:space="preserve">,</w:t>
      </w:r>
      <w:r>
        <w:t xml:space="preserve"> </w:t>
      </w:r>
      <w:r>
        <w:rPr>
          <w:rStyle w:val="VerbatimChar"/>
        </w:rPr>
        <w:t xml:space="preserve">copx_*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pick_*</w:t>
      </w:r>
      <w:r>
        <w:t xml:space="preserve">,</w:t>
      </w:r>
      <w:r>
        <w:t xml:space="preserve"> </w:t>
      </w:r>
      <w:r>
        <w:rPr>
          <w:rStyle w:val="VerbatimChar"/>
        </w:rPr>
        <w:t xml:space="preserve">slx_*</w:t>
      </w:r>
      <w:r>
        <w:t xml:space="preserve">,</w:t>
      </w:r>
      <w:r>
        <w:t xml:space="preserve"> </w:t>
      </w:r>
      <w:r>
        <w:rPr>
          <w:rStyle w:val="VerbatimChar"/>
        </w:rPr>
        <w:t xml:space="preserve">vix_*</w:t>
      </w:r>
      <w:r>
        <w:t xml:space="preserve">,</w:t>
      </w:r>
      <w:r>
        <w:t xml:space="preserve"> </w:t>
      </w:r>
      <w:r>
        <w:rPr>
          <w:rStyle w:val="VerbatimChar"/>
        </w:rPr>
        <w:t xml:space="preserve">bdry_*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Зачем корреляция:</w:t>
      </w:r>
      <w:r>
        <w:t xml:space="preserve"> </w:t>
      </w:r>
      <w:r>
        <w:rPr>
          <w:rStyle w:val="VerbatimChar"/>
        </w:rPr>
        <w:t xml:space="preserve">corr_cu_dxy_60</w:t>
      </w:r>
      <w:r>
        <w:t xml:space="preserve"> </w:t>
      </w:r>
      <w:r>
        <w:t xml:space="preserve">показывает,</w:t>
      </w:r>
      <w:r>
        <w:t xml:space="preserve"> </w:t>
      </w:r>
      <w:r>
        <w:rPr>
          <w:b/>
          <w:bCs/>
        </w:rPr>
        <w:t xml:space="preserve">работает ли</w:t>
      </w:r>
      <w:r>
        <w:t xml:space="preserve"> </w:t>
      </w:r>
      <w:r>
        <w:t xml:space="preserve">сейчас обратная связь доллар↔медь. Если корреляция близка к нулю — связь нарушилась (структурный сдвиг), и модель снижает вес доллара.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группа-8.-cftc-cot-позиции-трейдеров"/>
    <w:p>
      <w:pPr>
        <w:pStyle w:val="Heading2"/>
      </w:pPr>
      <w:r>
        <w:t xml:space="preserve">Группа 8. CFTC COT (позиции трейдеров)</w:t>
      </w:r>
    </w:p>
    <w:p>
      <w:pPr>
        <w:pStyle w:val="FirstParagraph"/>
      </w:pPr>
      <w:r>
        <w:t xml:space="preserve">Данные о позициях участников рынка фьючерсов меди на COMEX. Обновляются раз в неделю.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cot_mm_net_long</w:t>
            </w:r>
          </w:p>
        </w:tc>
        <w:tc>
          <w:tcPr/>
          <w:p>
            <w:pPr>
              <w:pStyle w:val="Compact"/>
            </w:pPr>
            <w:r>
              <w:t xml:space="preserve">Чистая длинная позиция хедж-фондов (Money Manager), контрактов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cot_mm_net_long_z</w:t>
            </w:r>
          </w:p>
        </w:tc>
        <w:tc>
          <w:tcPr/>
          <w:p>
            <w:pPr>
              <w:pStyle w:val="Compact"/>
            </w:pPr>
            <w:r>
              <w:t xml:space="preserve">То же, но как z-score за 5 лет (&gt;2 = экстремальный перегрев)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cot_mm_net_long_pct</w:t>
            </w:r>
          </w:p>
        </w:tc>
        <w:tc>
          <w:tcPr/>
          <w:p>
            <w:pPr>
              <w:pStyle w:val="Compact"/>
            </w:pPr>
            <w:r>
              <w:t xml:space="preserve">Чистая позиция как % от открытого интереса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cot_mm_net_long_chg_4w</w:t>
            </w:r>
          </w:p>
        </w:tc>
        <w:tc>
          <w:tcPr/>
          <w:p>
            <w:pPr>
              <w:pStyle w:val="Compact"/>
            </w:pPr>
            <w:r>
              <w:t xml:space="preserve">Изменение позиции за 4 недели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cot_mm_net_long_chg_12w</w:t>
            </w:r>
          </w:p>
        </w:tc>
        <w:tc>
          <w:tcPr/>
          <w:p>
            <w:pPr>
              <w:pStyle w:val="Compact"/>
            </w:pPr>
            <w:r>
              <w:t xml:space="preserve">Изменение за 12 недель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cot_open_interest</w:t>
            </w:r>
          </w:p>
        </w:tc>
        <w:tc>
          <w:tcPr/>
          <w:p>
            <w:pPr>
              <w:pStyle w:val="Compact"/>
            </w:pPr>
            <w:r>
              <w:t xml:space="preserve">Открытый интерес (всего контрактов на рынке)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cot_oi_chg_4w</w:t>
            </w:r>
          </w:p>
        </w:tc>
        <w:tc>
          <w:tcPr/>
          <w:p>
            <w:pPr>
              <w:pStyle w:val="Compact"/>
            </w:pPr>
            <w:r>
              <w:t xml:space="preserve">Изменение открытого интереса за 4 недели,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cot_pm_net_long</w:t>
            </w:r>
          </w:p>
        </w:tc>
        <w:tc>
          <w:tcPr/>
          <w:p>
            <w:pPr>
              <w:pStyle w:val="Compact"/>
            </w:pPr>
            <w:r>
              <w:t xml:space="preserve">Чистая позиция производителей/торговцев (хеджеры)</w:t>
            </w:r>
          </w:p>
        </w:tc>
      </w:tr>
    </w:tbl>
    <w:bookmarkStart w:id="29" w:name="что-такое-z-score-cot_mm_net_long_z"/>
    <w:p>
      <w:pPr>
        <w:pStyle w:val="Heading3"/>
      </w:pPr>
      <w:r>
        <w:t xml:space="preserve">Что такое z-score (</w:t>
      </w:r>
      <w:r>
        <w:rPr>
          <w:rStyle w:val="VerbatimChar"/>
        </w:rPr>
        <w:t xml:space="preserve">cot_mm_net_long_z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z = (текущая позиция − средняя за 5 лет) / стандартное отклонение за 5 лет</w:t>
      </w:r>
    </w:p>
    <w:p>
      <w:pPr>
        <w:pStyle w:val="FirstParagraph"/>
      </w:pPr>
      <w:r>
        <w:rPr>
          <w:b/>
          <w:bCs/>
        </w:rPr>
        <w:t xml:space="preserve">Как читать:</w:t>
      </w:r>
      <w:r>
        <w:t xml:space="preserve"> </w:t>
      </w:r>
      <w:r>
        <w:t xml:space="preserve">z = +2 означает «позиция на 2 стандартных отклонения выше нормы» — это экстремальный перегрев, исторически предшествует развороту вниз.</w:t>
      </w:r>
    </w:p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когда хедж-фонды массово «в лонге» — рынок перекуплен, риск коррекции.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группа-9.-lme-лондонская-биржа-металлов"/>
    <w:p>
      <w:pPr>
        <w:pStyle w:val="Heading2"/>
      </w:pPr>
      <w:r>
        <w:t xml:space="preserve">Группа 9. LME (Лондонская биржа металлов)</w:t>
      </w:r>
    </w:p>
    <w:bookmarkStart w:id="31" w:name="цена-lme"/>
    <w:p>
      <w:pPr>
        <w:pStyle w:val="Heading3"/>
      </w:pPr>
      <w:r>
        <w:t xml:space="preserve">Цена LME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lme_3m</w:t>
            </w:r>
          </w:p>
        </w:tc>
        <w:tc>
          <w:tcPr/>
          <w:p>
            <w:pPr>
              <w:pStyle w:val="Compact"/>
            </w:pPr>
            <w:r>
              <w:t xml:space="preserve">Цена 3-месячного фьючерса LME, USD/т (глобальный baseline)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lme_3m_log</w:t>
            </w:r>
          </w:p>
        </w:tc>
        <w:tc>
          <w:tcPr/>
          <w:p>
            <w:pPr>
              <w:pStyle w:val="Compact"/>
            </w:pPr>
            <w:r>
              <w:t xml:space="preserve">Логарифм цены LME 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lme_3m_ret_1d</w:t>
            </w:r>
          </w:p>
        </w:tc>
        <w:tc>
          <w:tcPr/>
          <w:p>
            <w:pPr>
              <w:pStyle w:val="Compact"/>
            </w:pPr>
            <w:r>
              <w:t xml:space="preserve">Изменение LME 3M за 1 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lme_3m_ret_5d</w:t>
            </w:r>
          </w:p>
        </w:tc>
        <w:tc>
          <w:tcPr/>
          <w:p>
            <w:pPr>
              <w:pStyle w:val="Compact"/>
            </w:pPr>
            <w:r>
              <w:t xml:space="preserve">За 5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lme_3m_ret_20d</w:t>
            </w:r>
          </w:p>
        </w:tc>
        <w:tc>
          <w:tcPr/>
          <w:p>
            <w:pPr>
              <w:pStyle w:val="Compact"/>
            </w:pPr>
            <w:r>
              <w:t xml:space="preserve">За 20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lme_cash_3m_spread</w:t>
            </w:r>
          </w:p>
        </w:tc>
        <w:tc>
          <w:tcPr/>
          <w:p>
            <w:pPr>
              <w:pStyle w:val="Compact"/>
            </w:pPr>
            <w:r>
              <w:t xml:space="preserve">Спред между ценой cash и 3M, %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lme_cash_3m_spread</w:t>
      </w:r>
      <w:r>
        <w:rPr>
          <w:b/>
          <w:bCs/>
        </w:rPr>
        <w:t xml:space="preserve">:</w:t>
      </w:r>
      <w:r>
        <w:t xml:space="preserve"> </w:t>
      </w:r>
      <w:r>
        <w:t xml:space="preserve">показывает структуру рынка: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0 (бэквардация)</w:t>
      </w:r>
      <w:r>
        <w:t xml:space="preserve"> </w:t>
      </w:r>
      <w:r>
        <w:t xml:space="preserve">— спот дороже фьючерса = дефицит сейчас.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0 (контанго)</w:t>
      </w:r>
      <w:r>
        <w:t xml:space="preserve"> </w:t>
      </w:r>
      <w:r>
        <w:t xml:space="preserve">— фьючерс дороже = избыток сейчас.</w:t>
      </w:r>
    </w:p>
    <w:bookmarkEnd w:id="31"/>
    <w:bookmarkStart w:id="32" w:name="премия-comex-lme"/>
    <w:p>
      <w:pPr>
        <w:pStyle w:val="Heading3"/>
      </w:pPr>
      <w:r>
        <w:t xml:space="preserve">Премия COMEX / LME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comex_lme_premium_pct</w:t>
            </w:r>
          </w:p>
        </w:tc>
        <w:tc>
          <w:tcPr/>
          <w:p>
            <w:pPr>
              <w:pStyle w:val="Compact"/>
            </w:pPr>
            <w:r>
              <w:t xml:space="preserve">Насколько COMEX дороже LME,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(COMEX_в_тоннах / LME_3M − 1)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comex_lme_premium_chg_5d</w:t>
            </w:r>
          </w:p>
        </w:tc>
        <w:tc>
          <w:tcPr/>
          <w:p>
            <w:pPr>
              <w:pStyle w:val="Compact"/>
            </w:pPr>
            <w:r>
              <w:t xml:space="preserve">Изменение премии за 5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premium_t − premium_t-5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comex_lme_premium_chg_20d</w:t>
            </w:r>
          </w:p>
        </w:tc>
        <w:tc>
          <w:tcPr/>
          <w:p>
            <w:pPr>
              <w:pStyle w:val="Compact"/>
            </w:pPr>
            <w:r>
              <w:t xml:space="preserve">Изменение премии за 20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premium_t − premium_t-20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в эпоху тарифов США (2025-2028) премия — ключевой индикатор. Норма 0-1%, при тарифных шоках расширялась до 30%.</w:t>
      </w:r>
    </w:p>
    <w:bookmarkEnd w:id="32"/>
    <w:bookmarkStart w:id="33" w:name="складские-запасы-lme"/>
    <w:p>
      <w:pPr>
        <w:pStyle w:val="Heading3"/>
      </w:pPr>
      <w:r>
        <w:t xml:space="preserve">Складские запасы LME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lme_stock_total</w:t>
            </w:r>
          </w:p>
        </w:tc>
        <w:tc>
          <w:tcPr/>
          <w:p>
            <w:pPr>
              <w:pStyle w:val="Compact"/>
            </w:pPr>
            <w:r>
              <w:t xml:space="preserve">Складские запасы меди на LME, тонн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lme_stock_log</w:t>
            </w:r>
          </w:p>
        </w:tc>
        <w:tc>
          <w:tcPr/>
          <w:p>
            <w:pPr>
              <w:pStyle w:val="Compact"/>
            </w:pPr>
            <w:r>
              <w:t xml:space="preserve">Логарифм запасов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lme_stock_chg_5d</w:t>
            </w:r>
          </w:p>
        </w:tc>
        <w:tc>
          <w:tcPr/>
          <w:p>
            <w:pPr>
              <w:pStyle w:val="Compact"/>
            </w:pPr>
            <w:r>
              <w:t xml:space="preserve">Изменение запасов за 5 дней,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lme_stock_chg_20d</w:t>
            </w:r>
          </w:p>
        </w:tc>
        <w:tc>
          <w:tcPr/>
          <w:p>
            <w:pPr>
              <w:pStyle w:val="Compact"/>
            </w:pPr>
            <w:r>
              <w:t xml:space="preserve">За 20 дней,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lme_stock_pct_change</w:t>
            </w:r>
          </w:p>
        </w:tc>
        <w:tc>
          <w:tcPr/>
          <w:p>
            <w:pPr>
              <w:pStyle w:val="Compact"/>
            </w:pPr>
            <w:r>
              <w:t xml:space="preserve">Дневное изменение запасов, %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чем меньше запасов — тем выше цена (дефицит). Резкий вывод металла со складов — бычий сигнал.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a9c95aca7bab392800507ac18c918fd7e347f86"/>
    <w:p>
      <w:pPr>
        <w:pStyle w:val="Heading2"/>
      </w:pPr>
      <w:r>
        <w:t xml:space="preserve">Группа 10. FRED (макроэкономика США) — опционально</w:t>
      </w:r>
    </w:p>
    <w:p>
      <w:pPr>
        <w:pStyle w:val="FirstParagraph"/>
      </w:pPr>
      <w:r>
        <w:t xml:space="preserve">Подключается только при наличии бесплатного FRED API ключа.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fred_dxy_broad</w:t>
            </w:r>
          </w:p>
        </w:tc>
        <w:tc>
          <w:tcPr/>
          <w:p>
            <w:pPr>
              <w:pStyle w:val="Compact"/>
            </w:pPr>
            <w:r>
              <w:t xml:space="preserve">Широкий индекс доллара (DTWEXBGS)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fred_dgs10</w:t>
            </w:r>
          </w:p>
        </w:tc>
        <w:tc>
          <w:tcPr/>
          <w:p>
            <w:pPr>
              <w:pStyle w:val="Compact"/>
            </w:pPr>
            <w:r>
              <w:t xml:space="preserve">Доходность 10-летних облигаций США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fred_fedfunds</w:t>
            </w:r>
          </w:p>
        </w:tc>
        <w:tc>
          <w:tcPr/>
          <w:p>
            <w:pPr>
              <w:pStyle w:val="Compact"/>
            </w:pPr>
            <w:r>
              <w:t xml:space="preserve">Эффективная ставка ФРС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fred_cpi</w:t>
            </w:r>
          </w:p>
        </w:tc>
        <w:tc>
          <w:tcPr/>
          <w:p>
            <w:pPr>
              <w:pStyle w:val="Compact"/>
            </w:pPr>
            <w:r>
              <w:t xml:space="preserve">Индекс потребительских цен (инфляция)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fred_indpro</w:t>
            </w:r>
          </w:p>
        </w:tc>
        <w:tc>
          <w:tcPr/>
          <w:p>
            <w:pPr>
              <w:pStyle w:val="Compact"/>
            </w:pPr>
            <w:r>
              <w:t xml:space="preserve">Индекс промышленного производства США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fred_*_chg_20d</w:t>
            </w:r>
          </w:p>
        </w:tc>
        <w:tc>
          <w:tcPr/>
          <w:p>
            <w:pPr>
              <w:pStyle w:val="Compact"/>
            </w:pPr>
            <w:r>
              <w:t xml:space="preserve">Изменение показателя за 20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fred_*_yoy</w:t>
            </w:r>
          </w:p>
        </w:tc>
        <w:tc>
          <w:tcPr/>
          <w:p>
            <w:pPr>
              <w:pStyle w:val="Compact"/>
            </w:pPr>
            <w:r>
              <w:t xml:space="preserve">Изменение год к году, % (для CPI и IndPro)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прямые макроэкономические факторы. Высокая инфляция → ФРС повышает ставку → доллар растёт → медь под давлением.</w:t>
      </w:r>
    </w:p>
    <w:p>
      <w:r>
        <w:pict>
          <v:rect style="width:0;height:1.5pt" o:hralign="center" o:hrstd="t" o:hr="t"/>
        </w:pict>
      </w:r>
    </w:p>
    <w:bookmarkEnd w:id="35"/>
    <w:bookmarkStart w:id="36" w:name="группа-11.-календарные-признаки"/>
    <w:p>
      <w:pPr>
        <w:pStyle w:val="Heading2"/>
      </w:pPr>
      <w:r>
        <w:t xml:space="preserve">Группа 11. Календарные признаки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Диапазон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</w:t>
            </w:r>
          </w:p>
        </w:tc>
        <w:tc>
          <w:tcPr/>
          <w:p>
            <w:pPr>
              <w:pStyle w:val="Compact"/>
            </w:pPr>
            <w:r>
              <w:t xml:space="preserve">День недели</w:t>
            </w:r>
          </w:p>
        </w:tc>
        <w:tc>
          <w:tcPr/>
          <w:p>
            <w:pPr>
              <w:pStyle w:val="Compact"/>
            </w:pPr>
            <w:r>
              <w:t xml:space="preserve">0 (Пн) … 4 (Пт)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День месяца</w:t>
            </w:r>
          </w:p>
        </w:tc>
        <w:tc>
          <w:tcPr/>
          <w:p>
            <w:pPr>
              <w:pStyle w:val="Compact"/>
            </w:pPr>
            <w:r>
              <w:t xml:space="preserve">1 …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1 (Янв) … 12 (Дек)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сезонность. Например, китайский Новый год (январь-февраль) — слабый спрос; строительный сезон в северном полушарии — рост.</w:t>
      </w:r>
    </w:p>
    <w:p>
      <w:r>
        <w:pict>
          <v:rect style="width:0;height:1.5pt" o:hralign="center" o:hrstd="t" o:hr="t"/>
        </w:pict>
      </w:r>
    </w:p>
    <w:bookmarkEnd w:id="36"/>
    <w:bookmarkStart w:id="39" w:name="итого"/>
    <w:p>
      <w:pPr>
        <w:pStyle w:val="Heading2"/>
      </w:pPr>
      <w:r>
        <w:t xml:space="preserve">Итого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Кол-во признаков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Цена и доходности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Лаги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Скользящие средние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Волатильность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Моментум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Технические индикаторы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Кросс-активные (14 активов × 5)</w:t>
            </w:r>
          </w:p>
        </w:tc>
        <w:tc>
          <w:tcPr/>
          <w:p>
            <w:pPr>
              <w:pStyle w:val="Compact"/>
            </w:pPr>
            <w:r>
              <w:t xml:space="preserve">~70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CFTC COT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LME (цена + премия + запасы)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FRED (опционально)</w:t>
            </w:r>
          </w:p>
        </w:tc>
        <w:tc>
          <w:tcPr/>
          <w:p>
            <w:pPr>
              <w:pStyle w:val="Compact"/>
            </w:pPr>
            <w:r>
              <w:t xml:space="preserve">до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Календарные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~130</w:t>
            </w:r>
          </w:p>
        </w:tc>
      </w:tr>
    </w:tbl>
    <w:bookmarkStart w:id="37" w:name="как-признаки-попадают-в-прогноз"/>
    <w:p>
      <w:pPr>
        <w:pStyle w:val="Heading3"/>
      </w:pPr>
      <w:r>
        <w:t xml:space="preserve">Как признаки попадают в прогноз</w:t>
      </w:r>
    </w:p>
    <w:p>
      <w:pPr>
        <w:pStyle w:val="Compact"/>
        <w:numPr>
          <w:ilvl w:val="0"/>
          <w:numId w:val="1001"/>
        </w:numPr>
      </w:pPr>
      <w:r>
        <w:t xml:space="preserve">Все ~130 признаков считаются на каждый день истории.</w:t>
      </w:r>
    </w:p>
    <w:p>
      <w:pPr>
        <w:pStyle w:val="Compact"/>
        <w:numPr>
          <w:ilvl w:val="0"/>
          <w:numId w:val="1001"/>
        </w:numPr>
      </w:pPr>
      <w:r>
        <w:t xml:space="preserve">Признаки с покрытием &lt;50% (например, LME-данные, которые накапливаются)</w:t>
      </w:r>
      <w:r>
        <w:t xml:space="preserve"> </w:t>
      </w:r>
      <w:r>
        <w:rPr>
          <w:b/>
          <w:bCs/>
        </w:rPr>
        <w:t xml:space="preserve">автоматически отбрасываются</w:t>
      </w:r>
      <w:r>
        <w:t xml:space="preserve"> </w:t>
      </w:r>
      <w:r>
        <w:t xml:space="preserve">перед обучением — чтобы не ломать модель.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XGBoost и MLP</w:t>
      </w:r>
      <w:r>
        <w:t xml:space="preserve"> </w:t>
      </w:r>
      <w:r>
        <w:t xml:space="preserve">обучаются на всех оставшихся признаках.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Вклад каждого признака</w:t>
      </w:r>
      <w:r>
        <w:t xml:space="preserve"> </w:t>
      </w:r>
      <w:r>
        <w:t xml:space="preserve">в конкретный прогноз виден во вкладке «📈 Прогноз» → раздел «🔍 Почему такой прогноз? (SHAP)».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GBM и ARIMA</w:t>
      </w:r>
      <w:r>
        <w:t xml:space="preserve"> </w:t>
      </w:r>
      <w:r>
        <w:t xml:space="preserve">признаки не используют — они работают только на самой цене (это статистические бенчмарки).</w:t>
      </w:r>
    </w:p>
    <w:bookmarkEnd w:id="37"/>
    <w:bookmarkStart w:id="38" w:name="где-посмотреть-расшифровку-в-дашборде"/>
    <w:p>
      <w:pPr>
        <w:pStyle w:val="Heading3"/>
      </w:pPr>
      <w:r>
        <w:t xml:space="preserve">Где посмотреть расшифровку в дашборде</w:t>
      </w:r>
    </w:p>
    <w:p>
      <w:pPr>
        <w:pStyle w:val="FirstParagraph"/>
      </w:pPr>
      <w:r>
        <w:t xml:space="preserve">Во вкладке «📈 Прогноз» под графиком есть раздел</w:t>
      </w:r>
      <w:r>
        <w:t xml:space="preserve"> </w:t>
      </w:r>
      <w:r>
        <w:rPr>
          <w:b/>
          <w:bCs/>
        </w:rPr>
        <w:t xml:space="preserve">«🔍 Почему такой прогноз?»</w:t>
      </w:r>
      <w:r>
        <w:t xml:space="preserve">. Там для каждого из топ-10 влияющих признаков показано:</w:t>
      </w:r>
      <w:r>
        <w:t xml:space="preserve"> </w:t>
      </w:r>
      <w:r>
        <w:t xml:space="preserve">- Название (например,</w:t>
      </w:r>
      <w:r>
        <w:t xml:space="preserve"> </w:t>
      </w:r>
      <w:r>
        <w:rPr>
          <w:rStyle w:val="VerbatimChar"/>
        </w:rPr>
        <w:t xml:space="preserve">dxy_ret_5d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Человекочитаемое описание</w:t>
      </w:r>
      <w:r>
        <w:t xml:space="preserve"> </w:t>
      </w:r>
      <w:r>
        <w:t xml:space="preserve">(например, «Изменение доллара за 5 дней»)</w:t>
      </w:r>
      <w:r>
        <w:t xml:space="preserve"> </w:t>
      </w:r>
      <w:r>
        <w:t xml:space="preserve">- Текущее значение</w:t>
      </w:r>
      <w:r>
        <w:t xml:space="preserve"> </w:t>
      </w:r>
      <w:r>
        <w:t xml:space="preserve">- Вклад в прогноз и направление (↑/↓)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Справочник признаков модели прогноза цены меди</dc:title>
  <dc:creator>Copper Forecast MVP</dc:creator>
  <dc:language>ru-RU</dc:language>
  <cp:keywords/>
  <dcterms:created xsi:type="dcterms:W3CDTF">2026-05-28T04:38:18Z</dcterms:created>
  <dcterms:modified xsi:type="dcterms:W3CDTF">2026-05-28T04:38:18Z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Май 2026</vt:lpwstr>
  </property>
</Properties>
</file>