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ans CJK JP" w:hAnsi="Noto Sans CJK JP" w:eastAsia="Noto Sans CJK JP"/>
          <w:b/>
          <w:color w:val="1F3751"/>
          <w:sz w:val="60"/>
        </w:rPr>
        <w:t>Integral Prism</w:t>
      </w:r>
    </w:p>
    <w:p>
      <w:pPr>
        <w:jc w:val="center"/>
      </w:pPr>
      <w:r>
        <w:rPr>
          <w:rFonts w:ascii="Noto Sans CJK JP" w:hAnsi="Noto Sans CJK JP" w:eastAsia="Noto Sans CJK JP"/>
          <w:b/>
          <w:color w:val="2F5496"/>
          <w:sz w:val="40"/>
        </w:rPr>
        <w:t>最終設計評価 v1.0</w:t>
      </w:r>
    </w:p>
    <w:p>
      <w:pPr>
        <w:spacing w:before="160"/>
        <w:jc w:val="center"/>
      </w:pPr>
      <w:r>
        <w:rPr>
          <w:rFonts w:ascii="Noto Sans CJK JP" w:hAnsi="Noto Sans CJK JP" w:eastAsia="Noto Sans CJK JP"/>
          <w:color w:val="5A646E"/>
          <w:sz w:val="26"/>
        </w:rPr>
        <w:t>Decision-Centric Meta-Research Control Plane</w:t>
        <w:br/>
        <w:t>投資判断のための「調査行動」を最適配分する上位制御層</w:t>
      </w:r>
    </w:p>
    <w:p>
      <w:pPr>
        <w:spacing w:before="600"/>
        <w:jc w:val="center"/>
      </w:pPr>
      <w:r>
        <w:rPr>
          <w:rFonts w:ascii="Noto Sans CJK JP" w:hAnsi="Noto Sans CJK JP" w:eastAsia="Noto Sans CJK JP"/>
          <w:color w:val="5A646E"/>
          <w:sz w:val="18"/>
        </w:rPr>
        <w:t>Research cut-off: 2026-08-22</w:t>
      </w:r>
    </w:p>
    <w:tbl>
      <w:tblPr>
        <w:tblW w:type="auto" w:w="0"/>
        <w:jc w:val="center"/>
        <w:tblLayout w:type="autofit"/>
        <w:tblLook w:firstColumn="1" w:firstRow="1" w:lastColumn="0" w:lastRow="0" w:noHBand="0" w:noVBand="1" w:val="04A0"/>
      </w:tblPr>
      <w:tblGrid>
        <w:gridCol w:w="9866"/>
      </w:tblGrid>
      <w:tr>
        <w:trPr>
          <w:cantSplit/>
          <w:tblHeader/>
        </w:trPr>
        <w:tc>
          <w:tcPr>
            <w:tcW w:type="dxa" w:w="9866"/>
            <w:tcMar>
              <w:top w:w="120" w:type="dxa"/>
              <w:start w:w="160" w:type="dxa"/>
              <w:bottom w:w="120" w:type="dxa"/>
              <w:end w:w="160" w:type="dxa"/>
            </w:tcMar>
            <w:shd w:fill="EAF2F8"/>
          </w:tcPr>
          <w:p>
            <w:pPr>
              <w:spacing w:after="0" w:line="276" w:lineRule="auto"/>
            </w:pPr>
            <w:r>
              <w:rPr>
                <w:rFonts w:ascii="Noto Sans CJK JP" w:hAnsi="Noto Sans CJK JP" w:eastAsia="Noto Sans CJK JP"/>
                <w:b/>
                <w:color w:val="1F3751"/>
                <w:sz w:val="21"/>
              </w:rPr>
              <w:t>結論（1行）</w:t>
              <w:br/>
            </w:r>
            <w:r>
              <w:rPr>
                <w:rFonts w:ascii="Noto Sans CJK JP" w:hAnsi="Noto Sans CJK JP" w:eastAsia="Noto Sans CJK JP"/>
                <w:sz w:val="19"/>
              </w:rPr>
              <w:t>Prismは「より長いDeep Research」ではなく、投資判断を明示し、欠落論点を独立に壊し、次に買うべき情報・計算・人間質問を“意思決定価値”で選び続けるメタResearch OSにする。</w:t>
            </w:r>
          </w:p>
        </w:tc>
      </w:tr>
    </w:tbl>
    <w:p>
      <w:pPr>
        <w:spacing w:after="20"/>
      </w:pPr>
    </w:p>
    <w:tbl>
      <w:tblPr>
        <w:tblW w:type="auto" w:w="0"/>
        <w:jc w:val="center"/>
        <w:tblLayout w:type="autofit"/>
        <w:tblLook w:firstColumn="1" w:firstRow="1" w:lastColumn="0" w:lastRow="0" w:noHBand="0" w:noVBand="1" w:val="04A0"/>
      </w:tblPr>
      <w:tblGrid>
        <w:gridCol w:w="9866"/>
      </w:tblGrid>
      <w:tr>
        <w:trPr>
          <w:cantSplit/>
          <w:tblHeader/>
        </w:trPr>
        <w:tc>
          <w:tcPr>
            <w:tcW w:type="dxa" w:w="9866"/>
            <w:tcMar>
              <w:top w:w="120" w:type="dxa"/>
              <w:start w:w="160" w:type="dxa"/>
              <w:bottom w:w="120" w:type="dxa"/>
              <w:end w:w="160" w:type="dxa"/>
            </w:tcMar>
            <w:shd w:fill="FFF4E5"/>
          </w:tcPr>
          <w:p>
            <w:pPr>
              <w:spacing w:after="0" w:line="276" w:lineRule="auto"/>
            </w:pPr>
            <w:r>
              <w:rPr>
                <w:rFonts w:ascii="Noto Sans CJK JP" w:hAnsi="Noto Sans CJK JP" w:eastAsia="Noto Sans CJK JP"/>
                <w:b/>
                <w:color w:val="B0701F"/>
                <w:sz w:val="21"/>
              </w:rPr>
              <w:t>重要な留保</w:t>
              <w:br/>
            </w:r>
            <w:r>
              <w:rPr>
                <w:rFonts w:ascii="Noto Sans CJK JP" w:hAnsi="Noto Sans CJK JP" w:eastAsia="Noto Sans CJK JP"/>
                <w:sz w:val="19"/>
              </w:rPr>
              <w:t>公開情報を徹底比較した結果、個々の構成要素は既存研究である。学術的新規性は未証明。製品差別化は「統合アーキテクチャ」と「投資案件・結果で蓄積する校正データ」に置く。</w:t>
            </w:r>
          </w:p>
        </w:tc>
      </w:tr>
    </w:tbl>
    <w:p>
      <w:pPr>
        <w:spacing w:after="20"/>
      </w:pPr>
    </w:p>
    <w:p>
      <w:r>
        <w:br w:type="page"/>
      </w:r>
    </w:p>
    <w:p>
      <w:pPr>
        <w:pStyle w:val="Heading1"/>
      </w:pPr>
      <w:r>
        <w:t>1. Executive Verdict</w:t>
      </w:r>
    </w:p>
    <w:p>
      <w:pPr>
        <w:keepNext w:val="0"/>
        <w:spacing w:after="80" w:line="288" w:lineRule="auto"/>
      </w:pPr>
      <w:r>
        <w:rPr>
          <w:rFonts w:ascii="Noto Sans CJK JP" w:hAnsi="Noto Sans CJK JP" w:eastAsia="Noto Sans CJK JP"/>
        </w:rPr>
        <w:t>結論：現在のPrismを「Research QC」や「Citation checker」として作るのは却下する。最終案は、Research Agentの上位で研究計算を配分する Decision-Centric Meta-Research Control Plane である。</w:t>
      </w:r>
    </w:p>
    <w:tbl>
      <w:tblPr>
        <w:tblW w:type="auto" w:w="0"/>
        <w:jc w:val="center"/>
        <w:tblLayout w:type="autofit"/>
        <w:tblLook w:firstColumn="1" w:firstRow="1" w:lastColumn="0" w:lastRow="0" w:noHBand="0" w:noVBand="1" w:val="04A0"/>
      </w:tblPr>
      <w:tblGrid>
        <w:gridCol w:w="9866"/>
      </w:tblGrid>
      <w:tr>
        <w:trPr>
          <w:cantSplit/>
          <w:tblHeader/>
        </w:trPr>
        <w:tc>
          <w:tcPr>
            <w:tcW w:type="dxa" w:w="9866"/>
            <w:tcMar>
              <w:top w:w="120" w:type="dxa"/>
              <w:start w:w="160" w:type="dxa"/>
              <w:bottom w:w="120" w:type="dxa"/>
              <w:end w:w="160" w:type="dxa"/>
            </w:tcMar>
            <w:shd w:fill="EDF6EE"/>
          </w:tcPr>
          <w:p>
            <w:pPr>
              <w:spacing w:after="0" w:line="276" w:lineRule="auto"/>
            </w:pPr>
            <w:r>
              <w:rPr>
                <w:rFonts w:ascii="Noto Sans CJK JP" w:hAnsi="Noto Sans CJK JP" w:eastAsia="Noto Sans CJK JP"/>
                <w:b/>
                <w:color w:val="376E46"/>
                <w:sz w:val="21"/>
              </w:rPr>
              <w:t>採用する設計</w:t>
              <w:br/>
            </w:r>
            <w:r>
              <w:rPr>
                <w:rFonts w:ascii="Noto Sans CJK JP" w:hAnsi="Noto Sans CJK JP" w:eastAsia="Noto Sans CJK JP"/>
                <w:sz w:val="19"/>
              </w:rPr>
              <w:t>OUTER LOOP（問題空間の欠落を独立に挑戦）＋ INNER LOOP（各Research ActionのExpected Decision Valueを比較）＋ Epistemic Ledger（Evidenceの独立性・検索可能性・Unknownを状態として保持）＋ Outcome Calibration（案件結果でWorker/Source/Research行動の性能を更新）。</w:t>
            </w:r>
          </w:p>
        </w:tc>
      </w:tr>
    </w:tbl>
    <w:p>
      <w:pPr>
        <w:spacing w:after="20"/>
      </w:pP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984"/>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7"/>
              </w:rPr>
              <w:t>評価軸</w:t>
            </w:r>
          </w:p>
        </w:tc>
        <w:tc>
          <w:tcPr>
            <w:tcW w:type="dxa" w:w="1701"/>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7"/>
              </w:rPr>
              <w:t>判定</w:t>
            </w:r>
          </w:p>
        </w:tc>
        <w:tc>
          <w:tcPr>
            <w:tcW w:type="dxa" w:w="5953"/>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7"/>
              </w:rPr>
              <w:t>理由</w:t>
            </w:r>
          </w:p>
        </w:tc>
      </w:tr>
      <w:tr>
        <w:trPr>
          <w:cantSplit/>
        </w:trPr>
        <w:tc>
          <w:tcPr>
            <w:tcW w:type="dxa" w:w="1984"/>
            <w:tcMar>
              <w:top w:w="80" w:type="dxa"/>
              <w:start w:w="90" w:type="dxa"/>
              <w:bottom w:w="80" w:type="dxa"/>
              <w:end w:w="90" w:type="dxa"/>
            </w:tcMar>
            <w:vAlign w:val="top"/>
          </w:tcPr>
          <w:p>
            <w:pPr>
              <w:spacing w:after="0" w:line="264" w:lineRule="auto"/>
            </w:pPr>
            <w:r>
              <w:rPr>
                <w:rFonts w:ascii="Noto Sans CJK JP" w:hAnsi="Noto Sans CJK JP" w:eastAsia="Noto Sans CJK JP"/>
                <w:sz w:val="17"/>
              </w:rPr>
              <w:t>Sakanaとの差別化</w:t>
            </w:r>
          </w:p>
        </w:tc>
        <w:tc>
          <w:tcPr>
            <w:tcW w:type="dxa" w:w="1701"/>
            <w:tcMar>
              <w:top w:w="80" w:type="dxa"/>
              <w:start w:w="90" w:type="dxa"/>
              <w:bottom w:w="80" w:type="dxa"/>
              <w:end w:w="90" w:type="dxa"/>
            </w:tcMar>
            <w:vAlign w:val="top"/>
          </w:tcPr>
          <w:p>
            <w:pPr>
              <w:spacing w:after="0" w:line="264" w:lineRule="auto"/>
            </w:pPr>
            <w:r>
              <w:rPr>
                <w:rFonts w:ascii="Noto Sans CJK JP" w:hAnsi="Noto Sans CJK JP" w:eastAsia="Noto Sans CJK JP"/>
                <w:sz w:val="17"/>
              </w:rPr>
              <w:t>高</w:t>
            </w:r>
          </w:p>
        </w:tc>
        <w:tc>
          <w:tcPr>
            <w:tcW w:type="dxa" w:w="5953"/>
            <w:tcMar>
              <w:top w:w="80" w:type="dxa"/>
              <w:start w:w="90" w:type="dxa"/>
              <w:bottom w:w="80" w:type="dxa"/>
              <w:end w:w="90" w:type="dxa"/>
            </w:tcMar>
            <w:vAlign w:val="top"/>
          </w:tcPr>
          <w:p>
            <w:pPr>
              <w:spacing w:after="0" w:line="264" w:lineRule="auto"/>
            </w:pPr>
            <w:r>
              <w:rPr>
                <w:rFonts w:ascii="Noto Sans CJK JP" w:hAnsi="Noto Sans CJK JP" w:eastAsia="Noto Sans CJK JP"/>
                <w:sz w:val="17"/>
              </w:rPr>
              <w:t>候補回答の木を探索せず、意思決定状態に対するResearch Actionの限界価値を最適化する。Marlin自体をWorkerとして利用可能。</w:t>
            </w:r>
          </w:p>
        </w:tc>
      </w:tr>
      <w:tr>
        <w:trPr>
          <w:cantSplit/>
        </w:trPr>
        <w:tc>
          <w:tcPr>
            <w:tcW w:type="dxa" w:w="1984"/>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7"/>
              </w:rPr>
              <w:t>Deep Researchとの差別化</w:t>
            </w:r>
          </w:p>
        </w:tc>
        <w:tc>
          <w:tcPr>
            <w:tcW w:type="dxa" w:w="170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7"/>
              </w:rPr>
              <w:t>高（現時点）</w:t>
            </w:r>
          </w:p>
        </w:tc>
        <w:tc>
          <w:tcPr>
            <w:tcW w:type="dxa" w:w="5953"/>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7"/>
              </w:rPr>
              <w:t>DRは検索・統合Worker。Prismは複数Worker/非Web手段を跨いで「次に何を調べるか／止めるか」を外部の投資判断で制御する。</w:t>
            </w:r>
          </w:p>
        </w:tc>
      </w:tr>
      <w:tr>
        <w:trPr>
          <w:cantSplit/>
        </w:trPr>
        <w:tc>
          <w:tcPr>
            <w:tcW w:type="dxa" w:w="1984"/>
            <w:tcMar>
              <w:top w:w="80" w:type="dxa"/>
              <w:start w:w="90" w:type="dxa"/>
              <w:bottom w:w="80" w:type="dxa"/>
              <w:end w:w="90" w:type="dxa"/>
            </w:tcMar>
            <w:vAlign w:val="top"/>
          </w:tcPr>
          <w:p>
            <w:pPr>
              <w:spacing w:after="0" w:line="264" w:lineRule="auto"/>
            </w:pPr>
            <w:r>
              <w:rPr>
                <w:rFonts w:ascii="Noto Sans CJK JP" w:hAnsi="Noto Sans CJK JP" w:eastAsia="Noto Sans CJK JP"/>
                <w:sz w:val="17"/>
              </w:rPr>
              <w:t>投資実務価値</w:t>
            </w:r>
          </w:p>
        </w:tc>
        <w:tc>
          <w:tcPr>
            <w:tcW w:type="dxa" w:w="1701"/>
            <w:tcMar>
              <w:top w:w="80" w:type="dxa"/>
              <w:start w:w="90" w:type="dxa"/>
              <w:bottom w:w="80" w:type="dxa"/>
              <w:end w:w="90" w:type="dxa"/>
            </w:tcMar>
            <w:vAlign w:val="top"/>
          </w:tcPr>
          <w:p>
            <w:pPr>
              <w:spacing w:after="0" w:line="264" w:lineRule="auto"/>
            </w:pPr>
            <w:r>
              <w:rPr>
                <w:rFonts w:ascii="Noto Sans CJK JP" w:hAnsi="Noto Sans CJK JP" w:eastAsia="Noto Sans CJK JP"/>
                <w:sz w:val="17"/>
              </w:rPr>
              <w:t>高い可能性</w:t>
            </w:r>
          </w:p>
        </w:tc>
        <w:tc>
          <w:tcPr>
            <w:tcW w:type="dxa" w:w="5953"/>
            <w:tcMar>
              <w:top w:w="80" w:type="dxa"/>
              <w:start w:w="90" w:type="dxa"/>
              <w:bottom w:w="80" w:type="dxa"/>
              <w:end w:w="90" w:type="dxa"/>
            </w:tcMar>
            <w:vAlign w:val="top"/>
          </w:tcPr>
          <w:p>
            <w:pPr>
              <w:spacing w:after="0" w:line="264" w:lineRule="auto"/>
            </w:pPr>
            <w:r>
              <w:rPr>
                <w:rFonts w:ascii="Noto Sans CJK JP" w:hAnsi="Noto Sans CJK JP" w:eastAsia="Noto Sans CJK JP"/>
                <w:sz w:val="17"/>
              </w:rPr>
              <w:t>「詳しいレポート」ではなく、判断を変える未解決事項、必要Evidence、残存Unknownを優先する。</w:t>
            </w:r>
          </w:p>
        </w:tc>
      </w:tr>
      <w:tr>
        <w:trPr>
          <w:cantSplit/>
        </w:trPr>
        <w:tc>
          <w:tcPr>
            <w:tcW w:type="dxa" w:w="1984"/>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7"/>
              </w:rPr>
              <w:t>モデル進化耐性</w:t>
            </w:r>
          </w:p>
        </w:tc>
        <w:tc>
          <w:tcPr>
            <w:tcW w:type="dxa" w:w="170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7"/>
              </w:rPr>
              <w:t>高</w:t>
            </w:r>
          </w:p>
        </w:tc>
        <w:tc>
          <w:tcPr>
            <w:tcW w:type="dxa" w:w="5953"/>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7"/>
              </w:rPr>
              <w:t>Workerモデルが強くなるほど各Research Actionの成功率・抽出・検証性能が上がる。ただし競合製品が同じ制御原理を実装するリスクは残る。</w:t>
            </w:r>
          </w:p>
        </w:tc>
      </w:tr>
      <w:tr>
        <w:trPr>
          <w:cantSplit/>
        </w:trPr>
        <w:tc>
          <w:tcPr>
            <w:tcW w:type="dxa" w:w="1984"/>
            <w:tcMar>
              <w:top w:w="80" w:type="dxa"/>
              <w:start w:w="90" w:type="dxa"/>
              <w:bottom w:w="80" w:type="dxa"/>
              <w:end w:w="90" w:type="dxa"/>
            </w:tcMar>
            <w:vAlign w:val="top"/>
          </w:tcPr>
          <w:p>
            <w:pPr>
              <w:spacing w:after="0" w:line="264" w:lineRule="auto"/>
            </w:pPr>
            <w:r>
              <w:rPr>
                <w:rFonts w:ascii="Noto Sans CJK JP" w:hAnsi="Noto Sans CJK JP" w:eastAsia="Noto Sans CJK JP"/>
                <w:sz w:val="17"/>
              </w:rPr>
              <w:t>学術的新規性</w:t>
            </w:r>
          </w:p>
        </w:tc>
        <w:tc>
          <w:tcPr>
            <w:tcW w:type="dxa" w:w="1701"/>
            <w:tcMar>
              <w:top w:w="80" w:type="dxa"/>
              <w:start w:w="90" w:type="dxa"/>
              <w:bottom w:w="80" w:type="dxa"/>
              <w:end w:w="90" w:type="dxa"/>
            </w:tcMar>
            <w:vAlign w:val="top"/>
          </w:tcPr>
          <w:p>
            <w:pPr>
              <w:spacing w:after="0" w:line="264" w:lineRule="auto"/>
            </w:pPr>
            <w:r>
              <w:rPr>
                <w:rFonts w:ascii="Noto Sans CJK JP" w:hAnsi="Noto Sans CJK JP" w:eastAsia="Noto Sans CJK JP"/>
                <w:sz w:val="17"/>
              </w:rPr>
              <w:t>未証明</w:t>
            </w:r>
          </w:p>
        </w:tc>
        <w:tc>
          <w:tcPr>
            <w:tcW w:type="dxa" w:w="5953"/>
            <w:tcMar>
              <w:top w:w="80" w:type="dxa"/>
              <w:start w:w="90" w:type="dxa"/>
              <w:bottom w:w="80" w:type="dxa"/>
              <w:end w:w="90" w:type="dxa"/>
            </w:tcMar>
            <w:vAlign w:val="top"/>
          </w:tcPr>
          <w:p>
            <w:pPr>
              <w:spacing w:after="0" w:line="264" w:lineRule="auto"/>
            </w:pPr>
            <w:r>
              <w:rPr>
                <w:rFonts w:ascii="Noto Sans CJK JP" w:hAnsi="Noto Sans CJK JP" w:eastAsia="Noto Sans CJK JP"/>
                <w:sz w:val="17"/>
              </w:rPr>
              <w:t>VoI、metareasoning、falsification、retrieval calibration等の要素は既存。新規性を主張するには追加のprior-art/patent調査と実験が必要。</w:t>
            </w:r>
          </w:p>
        </w:tc>
      </w:tr>
      <w:tr>
        <w:trPr>
          <w:cantSplit/>
        </w:trPr>
        <w:tc>
          <w:tcPr>
            <w:tcW w:type="dxa" w:w="1984"/>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7"/>
              </w:rPr>
              <w:t>実装難易度</w:t>
            </w:r>
          </w:p>
        </w:tc>
        <w:tc>
          <w:tcPr>
            <w:tcW w:type="dxa" w:w="170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7"/>
              </w:rPr>
              <w:t>中〜高</w:t>
            </w:r>
          </w:p>
        </w:tc>
        <w:tc>
          <w:tcPr>
            <w:tcW w:type="dxa" w:w="5953"/>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7"/>
              </w:rPr>
              <w:t>LLM UIは容易。難所は「投資判断モデル」「VoI近似」「Evidence依存」「Outcome calibration」を実用レベルにすること。</w:t>
            </w:r>
          </w:p>
        </w:tc>
      </w:tr>
    </w:tbl>
    <w:p>
      <w:pPr>
        <w:spacing w:after="40"/>
      </w:pPr>
    </w:p>
    <w:p>
      <w:pPr>
        <w:keepNext w:val="0"/>
        <w:spacing w:after="80" w:line="288" w:lineRule="auto"/>
      </w:pPr>
      <w:r>
        <w:rPr>
          <w:rFonts w:ascii="Noto Sans CJK JP" w:hAnsi="Noto Sans CJK JP" w:eastAsia="Noto Sans CJK JP"/>
          <w:b/>
        </w:rPr>
        <w:t>最重要の判定：</w:t>
      </w:r>
      <w:r>
        <w:rPr>
          <w:rFonts w:ascii="Noto Sans CJK JP" w:hAnsi="Noto Sans CJK JP" w:eastAsia="Noto Sans CJK JP"/>
        </w:rPr>
        <w:t>この設計から「Decision Compiler」「Model Challenge Gate」「Meta-Research Controller」「Outcome Calibration」のどれかを外すと、既存のDeep Research/金融AI製品に急速に近づき、Prismの存在意義が弱くなる。</w:t>
      </w:r>
    </w:p>
    <w:p>
      <w:pPr>
        <w:pStyle w:val="Heading1"/>
      </w:pPr>
      <w:r>
        <w:t>2. 先に捨てた案：なぜ「それっぽいPrism」では弱いのか</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381"/>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6"/>
              </w:rPr>
              <w:t>候補</w:t>
            </w:r>
          </w:p>
        </w:tc>
        <w:tc>
          <w:tcPr>
            <w:tcW w:type="dxa" w:w="1871"/>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6"/>
              </w:rPr>
              <w:t>判定</w:t>
            </w:r>
          </w:p>
        </w:tc>
        <w:tc>
          <w:tcPr>
            <w:tcW w:type="dxa" w:w="5386"/>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6"/>
              </w:rPr>
              <w:t>却下理由 / 位置づけ</w:t>
            </w:r>
          </w:p>
        </w:tc>
      </w:tr>
      <w:tr>
        <w:trPr>
          <w:cantSplit/>
        </w:trPr>
        <w:tc>
          <w:tcPr>
            <w:tcW w:type="dxa" w:w="2381"/>
            <w:tcMar>
              <w:top w:w="80" w:type="dxa"/>
              <w:start w:w="90" w:type="dxa"/>
              <w:bottom w:w="80" w:type="dxa"/>
              <w:end w:w="90" w:type="dxa"/>
            </w:tcMar>
            <w:vAlign w:val="top"/>
          </w:tcPr>
          <w:p>
            <w:pPr>
              <w:spacing w:after="0" w:line="264" w:lineRule="auto"/>
            </w:pPr>
            <w:r>
              <w:rPr>
                <w:rFonts w:ascii="Noto Sans CJK JP" w:hAnsi="Noto Sans CJK JP" w:eastAsia="Noto Sans CJK JP"/>
                <w:sz w:val="16"/>
              </w:rPr>
              <w:t>複数仮説・World</w:t>
            </w:r>
          </w:p>
        </w:tc>
        <w:tc>
          <w:tcPr>
            <w:tcW w:type="dxa" w:w="1871"/>
            <w:tcMar>
              <w:top w:w="80" w:type="dxa"/>
              <w:start w:w="90" w:type="dxa"/>
              <w:bottom w:w="80" w:type="dxa"/>
              <w:end w:w="90" w:type="dxa"/>
            </w:tcMar>
            <w:vAlign w:val="top"/>
          </w:tcPr>
          <w:p>
            <w:pPr>
              <w:spacing w:after="0" w:line="264" w:lineRule="auto"/>
            </w:pPr>
            <w:r>
              <w:rPr>
                <w:rFonts w:ascii="Noto Sans CJK JP" w:hAnsi="Noto Sans CJK JP" w:eastAsia="Noto Sans CJK JP"/>
                <w:sz w:val="16"/>
              </w:rPr>
              <w:t>中核として却下</w:t>
            </w:r>
          </w:p>
        </w:tc>
        <w:tc>
          <w:tcPr>
            <w:tcW w:type="dxa" w:w="5386"/>
            <w:tcMar>
              <w:top w:w="80" w:type="dxa"/>
              <w:start w:w="90" w:type="dxa"/>
              <w:bottom w:w="80" w:type="dxa"/>
              <w:end w:w="90" w:type="dxa"/>
            </w:tcMar>
            <w:vAlign w:val="top"/>
          </w:tcPr>
          <w:p>
            <w:pPr>
              <w:spacing w:after="0" w:line="264" w:lineRule="auto"/>
            </w:pPr>
            <w:r>
              <w:rPr>
                <w:rFonts w:ascii="Noto Sans CJK JP" w:hAnsi="Noto Sans CJK JP" w:eastAsia="Noto Sans CJK JP"/>
                <w:sz w:val="16"/>
              </w:rPr>
              <w:t>Marlinは仮説生成・修正・棄却・新角度への展開を明示。ACH等の先行研究も厚い。</w:t>
            </w:r>
          </w:p>
        </w:tc>
      </w:tr>
      <w:tr>
        <w:trPr>
          <w:cantSplit/>
        </w:trPr>
        <w:tc>
          <w:tcPr>
            <w:tcW w:type="dxa" w:w="238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Go wider / Go deeper</w:t>
            </w:r>
          </w:p>
        </w:tc>
        <w:tc>
          <w:tcPr>
            <w:tcW w:type="dxa" w:w="187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却下</w:t>
            </w:r>
          </w:p>
        </w:tc>
        <w:tc>
          <w:tcPr>
            <w:tcW w:type="dxa" w:w="5386"/>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AB-MCTSそのもの。Sakanaの模倣になる。</w:t>
            </w:r>
          </w:p>
        </w:tc>
      </w:tr>
      <w:tr>
        <w:trPr>
          <w:cantSplit/>
        </w:trPr>
        <w:tc>
          <w:tcPr>
            <w:tcW w:type="dxa" w:w="2381"/>
            <w:tcMar>
              <w:top w:w="80" w:type="dxa"/>
              <w:start w:w="90" w:type="dxa"/>
              <w:bottom w:w="80" w:type="dxa"/>
              <w:end w:w="90" w:type="dxa"/>
            </w:tcMar>
            <w:vAlign w:val="top"/>
          </w:tcPr>
          <w:p>
            <w:pPr>
              <w:spacing w:after="0" w:line="264" w:lineRule="auto"/>
            </w:pPr>
            <w:r>
              <w:rPr>
                <w:rFonts w:ascii="Noto Sans CJK JP" w:hAnsi="Noto Sans CJK JP" w:eastAsia="Noto Sans CJK JP"/>
                <w:sz w:val="16"/>
              </w:rPr>
              <w:t>DAG/Graphで調査計画</w:t>
            </w:r>
          </w:p>
        </w:tc>
        <w:tc>
          <w:tcPr>
            <w:tcW w:type="dxa" w:w="1871"/>
            <w:tcMar>
              <w:top w:w="80" w:type="dxa"/>
              <w:start w:w="90" w:type="dxa"/>
              <w:bottom w:w="80" w:type="dxa"/>
              <w:end w:w="90" w:type="dxa"/>
            </w:tcMar>
            <w:vAlign w:val="top"/>
          </w:tcPr>
          <w:p>
            <w:pPr>
              <w:spacing w:after="0" w:line="264" w:lineRule="auto"/>
            </w:pPr>
            <w:r>
              <w:rPr>
                <w:rFonts w:ascii="Noto Sans CJK JP" w:hAnsi="Noto Sans CJK JP" w:eastAsia="Noto Sans CJK JP"/>
                <w:sz w:val="16"/>
              </w:rPr>
              <w:t>中核として却下</w:t>
            </w:r>
          </w:p>
        </w:tc>
        <w:tc>
          <w:tcPr>
            <w:tcW w:type="dxa" w:w="5386"/>
            <w:tcMar>
              <w:top w:w="80" w:type="dxa"/>
              <w:start w:w="90" w:type="dxa"/>
              <w:bottom w:w="80" w:type="dxa"/>
              <w:end w:w="90" w:type="dxa"/>
            </w:tcMar>
            <w:vAlign w:val="top"/>
          </w:tcPr>
          <w:p>
            <w:pPr>
              <w:spacing w:after="0" w:line="264" w:lineRule="auto"/>
            </w:pPr>
            <w:r>
              <w:rPr>
                <w:rFonts w:ascii="Noto Sans CJK JP" w:hAnsi="Noto Sans CJK JP" w:eastAsia="Noto Sans CJK JP"/>
                <w:sz w:val="16"/>
              </w:rPr>
              <w:t>DecomposeR、MindSearch等が既に明示的グラフ計画を研究。</w:t>
            </w:r>
          </w:p>
        </w:tc>
      </w:tr>
      <w:tr>
        <w:trPr>
          <w:cantSplit/>
        </w:trPr>
        <w:tc>
          <w:tcPr>
            <w:tcW w:type="dxa" w:w="238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Belief state/POMDP</w:t>
            </w:r>
          </w:p>
        </w:tc>
        <w:tc>
          <w:tcPr>
            <w:tcW w:type="dxa" w:w="187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中核として却下</w:t>
            </w:r>
          </w:p>
        </w:tc>
        <w:tc>
          <w:tcPr>
            <w:tcW w:type="dxa" w:w="5386"/>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CGDPがagentic searchをPOMDPとして形式化。</w:t>
            </w:r>
          </w:p>
        </w:tc>
      </w:tr>
      <w:tr>
        <w:trPr>
          <w:cantSplit/>
        </w:trPr>
        <w:tc>
          <w:tcPr>
            <w:tcW w:type="dxa" w:w="2381"/>
            <w:tcMar>
              <w:top w:w="80" w:type="dxa"/>
              <w:start w:w="90" w:type="dxa"/>
              <w:bottom w:w="80" w:type="dxa"/>
              <w:end w:w="90" w:type="dxa"/>
            </w:tcMar>
            <w:vAlign w:val="top"/>
          </w:tcPr>
          <w:p>
            <w:pPr>
              <w:spacing w:after="0" w:line="264" w:lineRule="auto"/>
            </w:pPr>
            <w:r>
              <w:rPr>
                <w:rFonts w:ascii="Noto Sans CJK JP" w:hAnsi="Noto Sans CJK JP" w:eastAsia="Noto Sans CJK JP"/>
                <w:sz w:val="16"/>
              </w:rPr>
              <w:t>Citation/Claim checker</w:t>
            </w:r>
          </w:p>
        </w:tc>
        <w:tc>
          <w:tcPr>
            <w:tcW w:type="dxa" w:w="1871"/>
            <w:tcMar>
              <w:top w:w="80" w:type="dxa"/>
              <w:start w:w="90" w:type="dxa"/>
              <w:bottom w:w="80" w:type="dxa"/>
              <w:end w:w="90" w:type="dxa"/>
            </w:tcMar>
            <w:vAlign w:val="top"/>
          </w:tcPr>
          <w:p>
            <w:pPr>
              <w:spacing w:after="0" w:line="264" w:lineRule="auto"/>
            </w:pPr>
            <w:r>
              <w:rPr>
                <w:rFonts w:ascii="Noto Sans CJK JP" w:hAnsi="Noto Sans CJK JP" w:eastAsia="Noto Sans CJK JP"/>
                <w:sz w:val="16"/>
              </w:rPr>
              <w:t>部品として採用</w:t>
            </w:r>
          </w:p>
        </w:tc>
        <w:tc>
          <w:tcPr>
            <w:tcW w:type="dxa" w:w="5386"/>
            <w:tcMar>
              <w:top w:w="80" w:type="dxa"/>
              <w:start w:w="90" w:type="dxa"/>
              <w:bottom w:w="80" w:type="dxa"/>
              <w:end w:w="90" w:type="dxa"/>
            </w:tcMar>
            <w:vAlign w:val="top"/>
          </w:tcPr>
          <w:p>
            <w:pPr>
              <w:spacing w:after="0" w:line="264" w:lineRule="auto"/>
            </w:pPr>
            <w:r>
              <w:rPr>
                <w:rFonts w:ascii="Noto Sans CJK JP" w:hAnsi="Noto Sans CJK JP" w:eastAsia="Noto Sans CJK JP"/>
                <w:sz w:val="16"/>
              </w:rPr>
              <w:t>DeepTRACEが強い先行。単独ではQC機能に留まり、将来モデルに吸収されやすい。</w:t>
            </w:r>
          </w:p>
        </w:tc>
      </w:tr>
      <w:tr>
        <w:trPr>
          <w:cantSplit/>
        </w:trPr>
        <w:tc>
          <w:tcPr>
            <w:tcW w:type="dxa" w:w="238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Evidence独立性</w:t>
            </w:r>
          </w:p>
        </w:tc>
        <w:tc>
          <w:tcPr>
            <w:tcW w:type="dxa" w:w="187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部品として採用</w:t>
            </w:r>
          </w:p>
        </w:tc>
        <w:tc>
          <w:tcPr>
            <w:tcW w:type="dxa" w:w="5386"/>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CAMAがcorrelated evidence / latent sourceを扱う。</w:t>
            </w:r>
          </w:p>
        </w:tc>
      </w:tr>
      <w:tr>
        <w:trPr>
          <w:cantSplit/>
        </w:trPr>
        <w:tc>
          <w:tcPr>
            <w:tcW w:type="dxa" w:w="2381"/>
            <w:tcMar>
              <w:top w:w="80" w:type="dxa"/>
              <w:start w:w="90" w:type="dxa"/>
              <w:bottom w:w="80" w:type="dxa"/>
              <w:end w:w="90" w:type="dxa"/>
            </w:tcMar>
            <w:vAlign w:val="top"/>
          </w:tcPr>
          <w:p>
            <w:pPr>
              <w:spacing w:after="0" w:line="264" w:lineRule="auto"/>
            </w:pPr>
            <w:r>
              <w:rPr>
                <w:rFonts w:ascii="Noto Sans CJK JP" w:hAnsi="Noto Sans CJK JP" w:eastAsia="Noto Sans CJK JP"/>
                <w:sz w:val="16"/>
              </w:rPr>
              <w:t>検索死角・absence</w:t>
            </w:r>
          </w:p>
        </w:tc>
        <w:tc>
          <w:tcPr>
            <w:tcW w:type="dxa" w:w="1871"/>
            <w:tcMar>
              <w:top w:w="80" w:type="dxa"/>
              <w:start w:w="90" w:type="dxa"/>
              <w:bottom w:w="80" w:type="dxa"/>
              <w:end w:w="90" w:type="dxa"/>
            </w:tcMar>
            <w:vAlign w:val="top"/>
          </w:tcPr>
          <w:p>
            <w:pPr>
              <w:spacing w:after="0" w:line="264" w:lineRule="auto"/>
            </w:pPr>
            <w:r>
              <w:rPr>
                <w:rFonts w:ascii="Noto Sans CJK JP" w:hAnsi="Noto Sans CJK JP" w:eastAsia="Noto Sans CJK JP"/>
                <w:sz w:val="16"/>
              </w:rPr>
              <w:t>部品として採用</w:t>
            </w:r>
          </w:p>
        </w:tc>
        <w:tc>
          <w:tcPr>
            <w:tcW w:type="dxa" w:w="5386"/>
            <w:tcMar>
              <w:top w:w="80" w:type="dxa"/>
              <w:start w:w="90" w:type="dxa"/>
              <w:bottom w:w="80" w:type="dxa"/>
              <w:end w:w="90" w:type="dxa"/>
            </w:tcMar>
            <w:vAlign w:val="top"/>
          </w:tcPr>
          <w:p>
            <w:pPr>
              <w:spacing w:after="0" w:line="264" w:lineRule="auto"/>
            </w:pPr>
            <w:r>
              <w:rPr>
                <w:rFonts w:ascii="Noto Sans CJK JP" w:hAnsi="Noto Sans CJK JP" w:eastAsia="Noto Sans CJK JP"/>
                <w:sz w:val="16"/>
              </w:rPr>
              <w:t>ARGUS/CROWN-QAがretrievabilityとnegative closureを扱う。</w:t>
            </w:r>
          </w:p>
        </w:tc>
      </w:tr>
      <w:tr>
        <w:trPr>
          <w:cantSplit/>
        </w:trPr>
        <w:tc>
          <w:tcPr>
            <w:tcW w:type="dxa" w:w="238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VoIだけで次検索を選ぶ</w:t>
            </w:r>
          </w:p>
        </w:tc>
        <w:tc>
          <w:tcPr>
            <w:tcW w:type="dxa" w:w="187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中核単独では却下</w:t>
            </w:r>
          </w:p>
        </w:tc>
        <w:tc>
          <w:tcPr>
            <w:tcW w:type="dxa" w:w="5386"/>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Sequential VoIは古典、2026年にもLLM search budget controlの先行あり。</w:t>
            </w:r>
          </w:p>
        </w:tc>
      </w:tr>
      <w:tr>
        <w:trPr>
          <w:cantSplit/>
        </w:trPr>
        <w:tc>
          <w:tcPr>
            <w:tcW w:type="dxa" w:w="2381"/>
            <w:tcMar>
              <w:top w:w="80" w:type="dxa"/>
              <w:start w:w="90" w:type="dxa"/>
              <w:bottom w:w="80" w:type="dxa"/>
              <w:end w:w="90" w:type="dxa"/>
            </w:tcMar>
            <w:vAlign w:val="top"/>
          </w:tcPr>
          <w:p>
            <w:pPr>
              <w:spacing w:after="0" w:line="264" w:lineRule="auto"/>
            </w:pPr>
            <w:r>
              <w:rPr>
                <w:rFonts w:ascii="Noto Sans CJK JP" w:hAnsi="Noto Sans CJK JP" w:eastAsia="Noto Sans CJK JP"/>
                <w:sz w:val="16"/>
              </w:rPr>
              <w:t>金融workflow orchestration</w:t>
            </w:r>
          </w:p>
        </w:tc>
        <w:tc>
          <w:tcPr>
            <w:tcW w:type="dxa" w:w="1871"/>
            <w:tcMar>
              <w:top w:w="80" w:type="dxa"/>
              <w:start w:w="90" w:type="dxa"/>
              <w:bottom w:w="80" w:type="dxa"/>
              <w:end w:w="90" w:type="dxa"/>
            </w:tcMar>
            <w:vAlign w:val="top"/>
          </w:tcPr>
          <w:p>
            <w:pPr>
              <w:spacing w:after="0" w:line="264" w:lineRule="auto"/>
            </w:pPr>
            <w:r>
              <w:rPr>
                <w:rFonts w:ascii="Noto Sans CJK JP" w:hAnsi="Noto Sans CJK JP" w:eastAsia="Noto Sans CJK JP"/>
                <w:sz w:val="16"/>
              </w:rPr>
              <w:t>却下</w:t>
            </w:r>
          </w:p>
        </w:tc>
        <w:tc>
          <w:tcPr>
            <w:tcW w:type="dxa" w:w="5386"/>
            <w:tcMar>
              <w:top w:w="80" w:type="dxa"/>
              <w:start w:w="90" w:type="dxa"/>
              <w:bottom w:w="80" w:type="dxa"/>
              <w:end w:w="90" w:type="dxa"/>
            </w:tcMar>
            <w:vAlign w:val="top"/>
          </w:tcPr>
          <w:p>
            <w:pPr>
              <w:spacing w:after="0" w:line="264" w:lineRule="auto"/>
            </w:pPr>
            <w:r>
              <w:rPr>
                <w:rFonts w:ascii="Noto Sans CJK JP" w:hAnsi="Noto Sans CJK JP" w:eastAsia="Noto Sans CJK JP"/>
                <w:sz w:val="16"/>
              </w:rPr>
              <w:t>AlphaSense/Blueflame/Rogo/Hebbia等が既にmulti-step、VDR、Excel、IC、multi-modelを進展。</w:t>
            </w:r>
          </w:p>
        </w:tc>
      </w:tr>
      <w:tr>
        <w:trPr>
          <w:cantSplit/>
        </w:trPr>
        <w:tc>
          <w:tcPr>
            <w:tcW w:type="dxa" w:w="238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LBO×Evidence mapping</w:t>
            </w:r>
          </w:p>
        </w:tc>
        <w:tc>
          <w:tcPr>
            <w:tcW w:type="dxa" w:w="187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中核単独では却下</w:t>
            </w:r>
          </w:p>
        </w:tc>
        <w:tc>
          <w:tcPr>
            <w:tcW w:type="dxa" w:w="5386"/>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金融AIは既にLBO、sensitivity、management claim validation、VDR連携へ進出。</w:t>
            </w:r>
          </w:p>
        </w:tc>
      </w:tr>
      <w:tr>
        <w:trPr>
          <w:cantSplit/>
        </w:trPr>
        <w:tc>
          <w:tcPr>
            <w:tcW w:type="dxa" w:w="2381"/>
            <w:tcMar>
              <w:top w:w="80" w:type="dxa"/>
              <w:start w:w="90" w:type="dxa"/>
              <w:bottom w:w="80" w:type="dxa"/>
              <w:end w:w="90" w:type="dxa"/>
            </w:tcMar>
            <w:vAlign w:val="top"/>
          </w:tcPr>
          <w:p>
            <w:pPr>
              <w:spacing w:after="0" w:line="264" w:lineRule="auto"/>
            </w:pPr>
            <w:r>
              <w:rPr>
                <w:rFonts w:ascii="Noto Sans CJK JP" w:hAnsi="Noto Sans CJK JP" w:eastAsia="Noto Sans CJK JP"/>
                <w:sz w:val="16"/>
              </w:rPr>
              <w:t>異業種アナロジー</w:t>
            </w:r>
          </w:p>
        </w:tc>
        <w:tc>
          <w:tcPr>
            <w:tcW w:type="dxa" w:w="1871"/>
            <w:tcMar>
              <w:top w:w="80" w:type="dxa"/>
              <w:start w:w="90" w:type="dxa"/>
              <w:bottom w:w="80" w:type="dxa"/>
              <w:end w:w="90" w:type="dxa"/>
            </w:tcMar>
            <w:vAlign w:val="top"/>
          </w:tcPr>
          <w:p>
            <w:pPr>
              <w:spacing w:after="0" w:line="264" w:lineRule="auto"/>
            </w:pPr>
            <w:r>
              <w:rPr>
                <w:rFonts w:ascii="Noto Sans CJK JP" w:hAnsi="Noto Sans CJK JP" w:eastAsia="Noto Sans CJK JP"/>
                <w:sz w:val="16"/>
              </w:rPr>
              <w:t>補助lane</w:t>
            </w:r>
          </w:p>
        </w:tc>
        <w:tc>
          <w:tcPr>
            <w:tcW w:type="dxa" w:w="5386"/>
            <w:tcMar>
              <w:top w:w="80" w:type="dxa"/>
              <w:start w:w="90" w:type="dxa"/>
              <w:bottom w:w="80" w:type="dxa"/>
              <w:end w:w="90" w:type="dxa"/>
            </w:tcMar>
            <w:vAlign w:val="top"/>
          </w:tcPr>
          <w:p>
            <w:pPr>
              <w:spacing w:after="0" w:line="264" w:lineRule="auto"/>
            </w:pPr>
            <w:r>
              <w:rPr>
                <w:rFonts w:ascii="Noto Sans CJK JP" w:hAnsi="Noto Sans CJK JP" w:eastAsia="Noto Sans CJK JP"/>
                <w:sz w:val="16"/>
              </w:rPr>
              <w:t>PEでoutside-view有効性の実証研究はあるが、Prism全体の核には狭すぎる。</w:t>
            </w:r>
          </w:p>
        </w:tc>
      </w:tr>
    </w:tbl>
    <w:p>
      <w:pPr>
        <w:spacing w:after="40"/>
      </w:pPr>
    </w:p>
    <w:tbl>
      <w:tblPr>
        <w:tblW w:type="auto" w:w="0"/>
        <w:jc w:val="center"/>
        <w:tblLayout w:type="autofit"/>
        <w:tblLook w:firstColumn="1" w:firstRow="1" w:lastColumn="0" w:lastRow="0" w:noHBand="0" w:noVBand="1" w:val="04A0"/>
      </w:tblPr>
      <w:tblGrid>
        <w:gridCol w:w="9866"/>
      </w:tblGrid>
      <w:tr>
        <w:trPr>
          <w:cantSplit/>
          <w:tblHeader/>
        </w:trPr>
        <w:tc>
          <w:tcPr>
            <w:tcW w:type="dxa" w:w="9866"/>
            <w:tcMar>
              <w:top w:w="120" w:type="dxa"/>
              <w:start w:w="160" w:type="dxa"/>
              <w:bottom w:w="120" w:type="dxa"/>
              <w:end w:w="160" w:type="dxa"/>
            </w:tcMar>
            <w:shd w:fill="EAF2F8"/>
          </w:tcPr>
          <w:p>
            <w:pPr>
              <w:spacing w:after="0" w:line="276" w:lineRule="auto"/>
            </w:pPr>
            <w:r>
              <w:rPr>
                <w:rFonts w:ascii="Noto Sans CJK JP" w:hAnsi="Noto Sans CJK JP" w:eastAsia="Noto Sans CJK JP"/>
                <w:b/>
                <w:color w:val="1F3751"/>
                <w:sz w:val="21"/>
              </w:rPr>
              <w:t>設計上の教訓</w:t>
              <w:br/>
            </w:r>
            <w:r>
              <w:rPr>
                <w:rFonts w:ascii="Noto Sans CJK JP" w:hAnsi="Noto Sans CJK JP" w:eastAsia="Noto Sans CJK JP"/>
                <w:sz w:val="19"/>
              </w:rPr>
              <w:t>「検索をもっと深く」「仮説をもっと多く」「別AIで再評価」では、Marlin/Deep Research/金融AIの延長にしかならない。Prismは最適化対象そのものを“回答品質”から“投資判断に対するResearch Actionの価値”へ変える必要がある。</w:t>
            </w:r>
          </w:p>
        </w:tc>
      </w:tr>
    </w:tbl>
    <w:p>
      <w:pPr>
        <w:spacing w:after="20"/>
      </w:pPr>
    </w:p>
    <w:p>
      <w:r>
        <w:br w:type="page"/>
      </w:r>
    </w:p>
    <w:p>
      <w:pPr>
        <w:pStyle w:val="Heading1"/>
      </w:pPr>
      <w:r>
        <w:t>3. Deep Research / Sakana Marlin / Integral Prism の本質的比較</w:t>
      </w:r>
    </w:p>
    <w:p>
      <w:pPr>
        <w:jc w:val="center"/>
      </w:pPr>
      <w:r>
        <w:drawing>
          <wp:inline xmlns:a="http://schemas.openxmlformats.org/drawingml/2006/main" xmlns:pic="http://schemas.openxmlformats.org/drawingml/2006/picture">
            <wp:extent cx="6120000" cy="3033391"/>
            <wp:docPr id="1" name="Picture 1" descr="Image: image1.png"/>
            <wp:cNvGraphicFramePr>
              <a:graphicFrameLocks noChangeAspect="1"/>
            </wp:cNvGraphicFramePr>
            <a:graphic>
              <a:graphicData uri="http://schemas.openxmlformats.org/drawingml/2006/picture">
                <pic:pic>
                  <pic:nvPicPr>
                    <pic:cNvPr id="0" name="prism_positioning.png"/>
                    <pic:cNvPicPr/>
                  </pic:nvPicPr>
                  <pic:blipFill>
                    <a:blip r:embed="rId11"/>
                    <a:stretch>
                      <a:fillRect/>
                    </a:stretch>
                  </pic:blipFill>
                  <pic:spPr>
                    <a:xfrm>
                      <a:off x="0" y="0"/>
                      <a:ext cx="6120000" cy="3033391"/>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587"/>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5"/>
              </w:rPr>
              <w:t>軸</w:t>
            </w:r>
          </w:p>
        </w:tc>
        <w:tc>
          <w:tcPr>
            <w:tcW w:type="dxa" w:w="2665"/>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5"/>
              </w:rPr>
              <w:t>Deep Research</w:t>
            </w:r>
          </w:p>
        </w:tc>
        <w:tc>
          <w:tcPr>
            <w:tcW w:type="dxa" w:w="2665"/>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5"/>
              </w:rPr>
              <w:t>Sakana Marlin</w:t>
            </w:r>
          </w:p>
        </w:tc>
        <w:tc>
          <w:tcPr>
            <w:tcW w:type="dxa" w:w="2835"/>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5"/>
              </w:rPr>
              <w:t>Integral Prism（最終案）</w:t>
            </w:r>
          </w:p>
        </w:tc>
      </w:tr>
      <w:tr>
        <w:trPr>
          <w:cantSplit/>
        </w:trPr>
        <w:tc>
          <w:tcPr>
            <w:tcW w:type="dxa" w:w="1587"/>
            <w:tcMar>
              <w:top w:w="80" w:type="dxa"/>
              <w:start w:w="90" w:type="dxa"/>
              <w:bottom w:w="80" w:type="dxa"/>
              <w:end w:w="90" w:type="dxa"/>
            </w:tcMar>
            <w:vAlign w:val="top"/>
          </w:tcPr>
          <w:p>
            <w:pPr>
              <w:spacing w:after="0" w:line="264" w:lineRule="auto"/>
            </w:pPr>
            <w:r>
              <w:rPr>
                <w:rFonts w:ascii="Noto Sans CJK JP" w:hAnsi="Noto Sans CJK JP" w:eastAsia="Noto Sans CJK JP"/>
                <w:sz w:val="15"/>
              </w:rPr>
              <w:t>主目的</w:t>
            </w:r>
          </w:p>
        </w:tc>
        <w:tc>
          <w:tcPr>
            <w:tcW w:type="dxa" w:w="2665"/>
            <w:tcMar>
              <w:top w:w="80" w:type="dxa"/>
              <w:start w:w="90" w:type="dxa"/>
              <w:bottom w:w="80" w:type="dxa"/>
              <w:end w:w="90" w:type="dxa"/>
            </w:tcMar>
            <w:vAlign w:val="top"/>
          </w:tcPr>
          <w:p>
            <w:pPr>
              <w:spacing w:after="0" w:line="264" w:lineRule="auto"/>
            </w:pPr>
            <w:r>
              <w:rPr>
                <w:rFonts w:ascii="Noto Sans CJK JP" w:hAnsi="Noto Sans CJK JP" w:eastAsia="Noto Sans CJK JP"/>
                <w:sz w:val="15"/>
              </w:rPr>
              <w:t>問いを調べ、統合し、引用付き報告を作る</w:t>
            </w:r>
          </w:p>
        </w:tc>
        <w:tc>
          <w:tcPr>
            <w:tcW w:type="dxa" w:w="2665"/>
            <w:tcMar>
              <w:top w:w="80" w:type="dxa"/>
              <w:start w:w="90" w:type="dxa"/>
              <w:bottom w:w="80" w:type="dxa"/>
              <w:end w:w="90" w:type="dxa"/>
            </w:tcMar>
            <w:vAlign w:val="top"/>
          </w:tcPr>
          <w:p>
            <w:pPr>
              <w:spacing w:after="0" w:line="264" w:lineRule="auto"/>
            </w:pPr>
            <w:r>
              <w:rPr>
                <w:rFonts w:ascii="Noto Sans CJK JP" w:hAnsi="Noto Sans CJK JP" w:eastAsia="Noto Sans CJK JP"/>
                <w:sz w:val="15"/>
              </w:rPr>
              <w:t>長期試行錯誤で有望な仮説/分析を広げ・深める</w:t>
            </w:r>
          </w:p>
        </w:tc>
        <w:tc>
          <w:tcPr>
            <w:tcW w:type="dxa" w:w="2835"/>
            <w:tcMar>
              <w:top w:w="80" w:type="dxa"/>
              <w:start w:w="90" w:type="dxa"/>
              <w:bottom w:w="80" w:type="dxa"/>
              <w:end w:w="90" w:type="dxa"/>
            </w:tcMar>
            <w:vAlign w:val="top"/>
          </w:tcPr>
          <w:p>
            <w:pPr>
              <w:spacing w:after="0" w:line="264" w:lineRule="auto"/>
            </w:pPr>
            <w:r>
              <w:rPr>
                <w:rFonts w:ascii="Noto Sans CJK JP" w:hAnsi="Noto Sans CJK JP" w:eastAsia="Noto Sans CJK JP"/>
                <w:sz w:val="15"/>
              </w:rPr>
              <w:t>投資判断を改善する次Research Actionを選ぶ</w:t>
            </w:r>
          </w:p>
        </w:tc>
      </w:tr>
      <w:tr>
        <w:trPr>
          <w:cantSplit/>
        </w:trPr>
        <w:tc>
          <w:tcPr>
            <w:tcW w:type="dxa" w:w="1587"/>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5"/>
              </w:rPr>
              <w:t>中心状態</w:t>
            </w:r>
          </w:p>
        </w:tc>
        <w:tc>
          <w:tcPr>
            <w:tcW w:type="dxa" w:w="2665"/>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5"/>
              </w:rPr>
              <w:t>調査計画・取得コンテキスト・レポート</w:t>
            </w:r>
          </w:p>
        </w:tc>
        <w:tc>
          <w:tcPr>
            <w:tcW w:type="dxa" w:w="2665"/>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5"/>
              </w:rPr>
              <w:t>探索木の候補解/仮説/分析</w:t>
            </w:r>
          </w:p>
        </w:tc>
        <w:tc>
          <w:tcPr>
            <w:tcW w:type="dxa" w:w="2835"/>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5"/>
              </w:rPr>
              <w:t>Decision model + Epistemic Ledger + Worker/Source calibration</w:t>
            </w:r>
          </w:p>
        </w:tc>
      </w:tr>
      <w:tr>
        <w:trPr>
          <w:cantSplit/>
        </w:trPr>
        <w:tc>
          <w:tcPr>
            <w:tcW w:type="dxa" w:w="1587"/>
            <w:tcMar>
              <w:top w:w="80" w:type="dxa"/>
              <w:start w:w="90" w:type="dxa"/>
              <w:bottom w:w="80" w:type="dxa"/>
              <w:end w:w="90" w:type="dxa"/>
            </w:tcMar>
            <w:vAlign w:val="top"/>
          </w:tcPr>
          <w:p>
            <w:pPr>
              <w:spacing w:after="0" w:line="264" w:lineRule="auto"/>
            </w:pPr>
            <w:r>
              <w:rPr>
                <w:rFonts w:ascii="Noto Sans CJK JP" w:hAnsi="Noto Sans CJK JP" w:eastAsia="Noto Sans CJK JP"/>
                <w:sz w:val="15"/>
              </w:rPr>
              <w:t>次Actionの基準</w:t>
            </w:r>
          </w:p>
        </w:tc>
        <w:tc>
          <w:tcPr>
            <w:tcW w:type="dxa" w:w="2665"/>
            <w:tcMar>
              <w:top w:w="80" w:type="dxa"/>
              <w:start w:w="90" w:type="dxa"/>
              <w:bottom w:w="80" w:type="dxa"/>
              <w:end w:w="90" w:type="dxa"/>
            </w:tcMar>
            <w:vAlign w:val="top"/>
          </w:tcPr>
          <w:p>
            <w:pPr>
              <w:spacing w:after="0" w:line="264" w:lineRule="auto"/>
            </w:pPr>
            <w:r>
              <w:rPr>
                <w:rFonts w:ascii="Noto Sans CJK JP" w:hAnsi="Noto Sans CJK JP" w:eastAsia="Noto Sans CJK JP"/>
                <w:sz w:val="15"/>
              </w:rPr>
              <w:t>調査計画上の必要性/モデル判断</w:t>
            </w:r>
          </w:p>
        </w:tc>
        <w:tc>
          <w:tcPr>
            <w:tcW w:type="dxa" w:w="2665"/>
            <w:tcMar>
              <w:top w:w="80" w:type="dxa"/>
              <w:start w:w="90" w:type="dxa"/>
              <w:bottom w:w="80" w:type="dxa"/>
              <w:end w:w="90" w:type="dxa"/>
            </w:tcMar>
            <w:vAlign w:val="top"/>
          </w:tcPr>
          <w:p>
            <w:pPr>
              <w:spacing w:after="0" w:line="264" w:lineRule="auto"/>
            </w:pPr>
            <w:r>
              <w:rPr>
                <w:rFonts w:ascii="Noto Sans CJK JP" w:hAnsi="Noto Sans CJK JP" w:eastAsia="Noto Sans CJK JP"/>
                <w:sz w:val="15"/>
              </w:rPr>
              <w:t>候補品質・探索reward（AB-MCTS）</w:t>
            </w:r>
          </w:p>
        </w:tc>
        <w:tc>
          <w:tcPr>
            <w:tcW w:type="dxa" w:w="2835"/>
            <w:tcMar>
              <w:top w:w="80" w:type="dxa"/>
              <w:start w:w="90" w:type="dxa"/>
              <w:bottom w:w="80" w:type="dxa"/>
              <w:end w:w="90" w:type="dxa"/>
            </w:tcMar>
            <w:vAlign w:val="top"/>
          </w:tcPr>
          <w:p>
            <w:pPr>
              <w:spacing w:after="0" w:line="264" w:lineRule="auto"/>
            </w:pPr>
            <w:r>
              <w:rPr>
                <w:rFonts w:ascii="Noto Sans CJK JP" w:hAnsi="Noto Sans CJK JP" w:eastAsia="Noto Sans CJK JP"/>
                <w:sz w:val="15"/>
              </w:rPr>
              <w:t>Expected Decision Value − cost/time/risk</w:t>
            </w:r>
          </w:p>
        </w:tc>
      </w:tr>
      <w:tr>
        <w:trPr>
          <w:cantSplit/>
        </w:trPr>
        <w:tc>
          <w:tcPr>
            <w:tcW w:type="dxa" w:w="1587"/>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5"/>
              </w:rPr>
              <w:t>新論点</w:t>
            </w:r>
          </w:p>
        </w:tc>
        <w:tc>
          <w:tcPr>
            <w:tcW w:type="dxa" w:w="2665"/>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5"/>
              </w:rPr>
              <w:t>調査中に生成可能</w:t>
            </w:r>
          </w:p>
        </w:tc>
        <w:tc>
          <w:tcPr>
            <w:tcW w:type="dxa" w:w="2665"/>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5"/>
              </w:rPr>
              <w:t>Go Widerで積極生成</w:t>
            </w:r>
          </w:p>
        </w:tc>
        <w:tc>
          <w:tcPr>
            <w:tcW w:type="dxa" w:w="2835"/>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5"/>
              </w:rPr>
              <w:t>OUTER loopの独立Challengeでモデル欠落を追加</w:t>
            </w:r>
          </w:p>
        </w:tc>
      </w:tr>
      <w:tr>
        <w:trPr>
          <w:cantSplit/>
        </w:trPr>
        <w:tc>
          <w:tcPr>
            <w:tcW w:type="dxa" w:w="1587"/>
            <w:tcMar>
              <w:top w:w="80" w:type="dxa"/>
              <w:start w:w="90" w:type="dxa"/>
              <w:bottom w:w="80" w:type="dxa"/>
              <w:end w:w="90" w:type="dxa"/>
            </w:tcMar>
            <w:vAlign w:val="top"/>
          </w:tcPr>
          <w:p>
            <w:pPr>
              <w:spacing w:after="0" w:line="264" w:lineRule="auto"/>
            </w:pPr>
            <w:r>
              <w:rPr>
                <w:rFonts w:ascii="Noto Sans CJK JP" w:hAnsi="Noto Sans CJK JP" w:eastAsia="Noto Sans CJK JP"/>
                <w:sz w:val="15"/>
              </w:rPr>
              <w:t>Evidence手段</w:t>
            </w:r>
          </w:p>
        </w:tc>
        <w:tc>
          <w:tcPr>
            <w:tcW w:type="dxa" w:w="2665"/>
            <w:tcMar>
              <w:top w:w="80" w:type="dxa"/>
              <w:start w:w="90" w:type="dxa"/>
              <w:bottom w:w="80" w:type="dxa"/>
              <w:end w:w="90" w:type="dxa"/>
            </w:tcMar>
            <w:vAlign w:val="top"/>
          </w:tcPr>
          <w:p>
            <w:pPr>
              <w:spacing w:after="0" w:line="264" w:lineRule="auto"/>
            </w:pPr>
            <w:r>
              <w:rPr>
                <w:rFonts w:ascii="Noto Sans CJK JP" w:hAnsi="Noto Sans CJK JP" w:eastAsia="Noto Sans CJK JP"/>
                <w:sz w:val="15"/>
              </w:rPr>
              <w:t>Web/ファイル/apps等</w:t>
            </w:r>
          </w:p>
        </w:tc>
        <w:tc>
          <w:tcPr>
            <w:tcW w:type="dxa" w:w="2665"/>
            <w:tcMar>
              <w:top w:w="80" w:type="dxa"/>
              <w:start w:w="90" w:type="dxa"/>
              <w:bottom w:w="80" w:type="dxa"/>
              <w:end w:w="90" w:type="dxa"/>
            </w:tcMar>
            <w:vAlign w:val="top"/>
          </w:tcPr>
          <w:p>
            <w:pPr>
              <w:spacing w:after="0" w:line="264" w:lineRule="auto"/>
            </w:pPr>
            <w:r>
              <w:rPr>
                <w:rFonts w:ascii="Noto Sans CJK JP" w:hAnsi="Noto Sans CJK JP" w:eastAsia="Noto Sans CJK JP"/>
                <w:sz w:val="15"/>
              </w:rPr>
              <w:t>Web/モデル群等</w:t>
            </w:r>
          </w:p>
        </w:tc>
        <w:tc>
          <w:tcPr>
            <w:tcW w:type="dxa" w:w="2835"/>
            <w:tcMar>
              <w:top w:w="80" w:type="dxa"/>
              <w:start w:w="90" w:type="dxa"/>
              <w:bottom w:w="80" w:type="dxa"/>
              <w:end w:w="90" w:type="dxa"/>
            </w:tcMar>
            <w:vAlign w:val="top"/>
          </w:tcPr>
          <w:p>
            <w:pPr>
              <w:spacing w:after="0" w:line="264" w:lineRule="auto"/>
            </w:pPr>
            <w:r>
              <w:rPr>
                <w:rFonts w:ascii="Noto Sans CJK JP" w:hAnsi="Noto Sans CJK JP" w:eastAsia="Noto Sans CJK JP"/>
                <w:sz w:val="15"/>
              </w:rPr>
              <w:t>DR/Marlin/プレミアム/VDR/専門家/Mgmt/SQL/Pythonを横断</w:t>
            </w:r>
          </w:p>
        </w:tc>
      </w:tr>
      <w:tr>
        <w:trPr>
          <w:cantSplit/>
        </w:trPr>
        <w:tc>
          <w:tcPr>
            <w:tcW w:type="dxa" w:w="1587"/>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5"/>
              </w:rPr>
              <w:t>停止</w:t>
            </w:r>
          </w:p>
        </w:tc>
        <w:tc>
          <w:tcPr>
            <w:tcW w:type="dxa" w:w="2665"/>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5"/>
              </w:rPr>
              <w:t>システムの研究完了判断</w:t>
            </w:r>
          </w:p>
        </w:tc>
        <w:tc>
          <w:tcPr>
            <w:tcW w:type="dxa" w:w="2665"/>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5"/>
              </w:rPr>
              <w:t>探索予算/品質評価</w:t>
            </w:r>
          </w:p>
        </w:tc>
        <w:tc>
          <w:tcPr>
            <w:tcW w:type="dxa" w:w="2835"/>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5"/>
              </w:rPr>
              <w:t>Decision stability + 追加行動のNet Value ≤ 0 + mandatory gaps処理</w:t>
            </w:r>
          </w:p>
        </w:tc>
      </w:tr>
      <w:tr>
        <w:trPr>
          <w:cantSplit/>
        </w:trPr>
        <w:tc>
          <w:tcPr>
            <w:tcW w:type="dxa" w:w="1587"/>
            <w:tcMar>
              <w:top w:w="80" w:type="dxa"/>
              <w:start w:w="90" w:type="dxa"/>
              <w:bottom w:w="80" w:type="dxa"/>
              <w:end w:w="90" w:type="dxa"/>
            </w:tcMar>
            <w:vAlign w:val="top"/>
          </w:tcPr>
          <w:p>
            <w:pPr>
              <w:spacing w:after="0" w:line="264" w:lineRule="auto"/>
            </w:pPr>
            <w:r>
              <w:rPr>
                <w:rFonts w:ascii="Noto Sans CJK JP" w:hAnsi="Noto Sans CJK JP" w:eastAsia="Noto Sans CJK JP"/>
                <w:sz w:val="15"/>
              </w:rPr>
              <w:t>モデル進化時</w:t>
            </w:r>
          </w:p>
        </w:tc>
        <w:tc>
          <w:tcPr>
            <w:tcW w:type="dxa" w:w="2665"/>
            <w:tcMar>
              <w:top w:w="80" w:type="dxa"/>
              <w:start w:w="90" w:type="dxa"/>
              <w:bottom w:w="80" w:type="dxa"/>
              <w:end w:w="90" w:type="dxa"/>
            </w:tcMar>
            <w:vAlign w:val="top"/>
          </w:tcPr>
          <w:p>
            <w:pPr>
              <w:spacing w:after="0" w:line="264" w:lineRule="auto"/>
            </w:pPr>
            <w:r>
              <w:rPr>
                <w:rFonts w:ascii="Noto Sans CJK JP" w:hAnsi="Noto Sans CJK JP" w:eastAsia="Noto Sans CJK JP"/>
                <w:sz w:val="15"/>
              </w:rPr>
              <w:t>自身が強くなる</w:t>
            </w:r>
          </w:p>
        </w:tc>
        <w:tc>
          <w:tcPr>
            <w:tcW w:type="dxa" w:w="2665"/>
            <w:tcMar>
              <w:top w:w="80" w:type="dxa"/>
              <w:start w:w="90" w:type="dxa"/>
              <w:bottom w:w="80" w:type="dxa"/>
              <w:end w:w="90" w:type="dxa"/>
            </w:tcMar>
            <w:vAlign w:val="top"/>
          </w:tcPr>
          <w:p>
            <w:pPr>
              <w:spacing w:after="0" w:line="264" w:lineRule="auto"/>
            </w:pPr>
            <w:r>
              <w:rPr>
                <w:rFonts w:ascii="Noto Sans CJK JP" w:hAnsi="Noto Sans CJK JP" w:eastAsia="Noto Sans CJK JP"/>
                <w:sz w:val="15"/>
              </w:rPr>
              <w:t>自身が強くなる</w:t>
            </w:r>
          </w:p>
        </w:tc>
        <w:tc>
          <w:tcPr>
            <w:tcW w:type="dxa" w:w="2835"/>
            <w:tcMar>
              <w:top w:w="80" w:type="dxa"/>
              <w:start w:w="90" w:type="dxa"/>
              <w:bottom w:w="80" w:type="dxa"/>
              <w:end w:w="90" w:type="dxa"/>
            </w:tcMar>
            <w:vAlign w:val="top"/>
          </w:tcPr>
          <w:p>
            <w:pPr>
              <w:spacing w:after="0" w:line="264" w:lineRule="auto"/>
            </w:pPr>
            <w:r>
              <w:rPr>
                <w:rFonts w:ascii="Noto Sans CJK JP" w:hAnsi="Noto Sans CJK JP" w:eastAsia="Noto Sans CJK JP"/>
                <w:sz w:val="15"/>
              </w:rPr>
              <w:t>Workerとして取り込むためPrismも強くなる</w:t>
            </w:r>
          </w:p>
        </w:tc>
      </w:tr>
    </w:tbl>
    <w:p>
      <w:pPr>
        <w:spacing w:after="40"/>
      </w:pPr>
    </w:p>
    <w:p>
      <w:pPr>
        <w:keepNext w:val="0"/>
        <w:spacing w:after="80" w:line="288" w:lineRule="auto"/>
      </w:pPr>
      <w:r>
        <w:rPr>
          <w:rFonts w:ascii="Noto Sans CJK JP" w:hAnsi="Noto Sans CJK JP" w:eastAsia="Noto Sans CJK JP"/>
          <w:color w:val="5A646E"/>
          <w:sz w:val="17"/>
        </w:rPr>
        <w:t>注：3者とも「適応的」「反復的」になり得る。差別化を“反復するか否か”で説明してはいけない。差は、何をstateとして持ち、どのobjectiveで次の計算資源を割り当てるかにある。</w:t>
      </w:r>
    </w:p>
    <w:p>
      <w:pPr>
        <w:pStyle w:val="Heading1"/>
      </w:pPr>
      <w:r>
        <w:t>4. なぜDeep Researchを「さらに長く回す」だけでは足りないか</w:t>
      </w:r>
    </w:p>
    <w:p>
      <w:pPr>
        <w:pStyle w:val="ListBullet"/>
        <w:spacing w:after="40" w:line="276" w:lineRule="auto"/>
      </w:pPr>
      <w:r>
        <w:rPr>
          <w:rFonts w:ascii="Noto Sans CJK JP" w:hAnsi="Noto Sans CJK JP" w:eastAsia="Noto Sans CJK JP"/>
        </w:rPr>
        <w:t>DeepTRACE（ICLR 2026）は、Deep Research構成でもlisted sourceが十分支えないstatementが残り、citation accuracyが評価対象システムで40–80%だったと報告している [R4]。</w:t>
      </w:r>
    </w:p>
    <w:p>
      <w:pPr>
        <w:pStyle w:val="ListBullet"/>
        <w:spacing w:after="40" w:line="276" w:lineRule="auto"/>
      </w:pPr>
      <w:r>
        <w:rPr>
          <w:rFonts w:ascii="Noto Sans CJK JP" w:hAnsi="Noto Sans CJK JP" w:eastAsia="Noto Sans CJK JP"/>
        </w:rPr>
        <w:t>2026年のDeep Research reliability研究は、限定的なmisleading knowledgeが長いresearch workflowで誤結論へ伝播し得る一方、focused verifierは個別誤情報を検出できるケースを報告している [R5]。</w:t>
      </w:r>
    </w:p>
    <w:p>
      <w:pPr>
        <w:pStyle w:val="ListBullet"/>
        <w:spacing w:after="40" w:line="276" w:lineRule="auto"/>
      </w:pPr>
      <w:r>
        <w:rPr>
          <w:rFonts w:ascii="Noto Sans CJK JP" w:hAnsi="Noto Sans CJK JP" w:eastAsia="Noto Sans CJK JP"/>
        </w:rPr>
        <w:t>ARGUSはretrieverのblind spotを、CROWN-QAは「見つからない」をCertified NegativeとUnknownに誤って閉じる問題を示す [R11][R12]。</w:t>
      </w:r>
    </w:p>
    <w:p>
      <w:pPr>
        <w:pStyle w:val="ListBullet"/>
        <w:spacing w:after="40" w:line="276" w:lineRule="auto"/>
      </w:pPr>
      <w:r>
        <w:rPr>
          <w:rFonts w:ascii="Noto Sans CJK JP" w:hAnsi="Noto Sans CJK JP" w:eastAsia="Noto Sans CJK JP"/>
        </w:rPr>
        <w:t>CAMAは多数のEvidenceが同じ上流sourceに由来するとfalse majorityになる問題を明示する [R13]。</w:t>
      </w:r>
    </w:p>
    <w:p>
      <w:pPr>
        <w:pStyle w:val="ListBullet"/>
        <w:spacing w:after="40" w:line="276" w:lineRule="auto"/>
      </w:pPr>
      <w:r>
        <w:rPr>
          <w:rFonts w:ascii="Noto Sans CJK JP" w:hAnsi="Noto Sans CJK JP" w:eastAsia="Noto Sans CJK JP"/>
        </w:rPr>
        <w:t>2026年のmulti-agent diversity研究は、強いモデルでも密な相互通信がpremature convergenceを招く可能性を示す [R15]。</w:t>
      </w:r>
    </w:p>
    <w:tbl>
      <w:tblPr>
        <w:tblW w:type="auto" w:w="0"/>
        <w:jc w:val="center"/>
        <w:tblLayout w:type="autofit"/>
        <w:tblLook w:firstColumn="1" w:firstRow="1" w:lastColumn="0" w:lastRow="0" w:noHBand="0" w:noVBand="1" w:val="04A0"/>
      </w:tblPr>
      <w:tblGrid>
        <w:gridCol w:w="9866"/>
      </w:tblGrid>
      <w:tr>
        <w:trPr>
          <w:cantSplit/>
          <w:tblHeader/>
        </w:trPr>
        <w:tc>
          <w:tcPr>
            <w:tcW w:type="dxa" w:w="9866"/>
            <w:tcMar>
              <w:top w:w="120" w:type="dxa"/>
              <w:start w:w="160" w:type="dxa"/>
              <w:bottom w:w="120" w:type="dxa"/>
              <w:end w:w="160" w:type="dxa"/>
            </w:tcMar>
            <w:shd w:fill="EDF6EE"/>
          </w:tcPr>
          <w:p>
            <w:pPr>
              <w:spacing w:after="0" w:line="276" w:lineRule="auto"/>
            </w:pPr>
            <w:r>
              <w:rPr>
                <w:rFonts w:ascii="Noto Sans CJK JP" w:hAnsi="Noto Sans CJK JP" w:eastAsia="Noto Sans CJK JP"/>
                <w:b/>
                <w:color w:val="376E46"/>
                <w:sz w:val="21"/>
              </w:rPr>
              <w:t>ここから導く設計条件</w:t>
              <w:br/>
            </w:r>
            <w:r>
              <w:rPr>
                <w:rFonts w:ascii="Noto Sans CJK JP" w:hAnsi="Noto Sans CJK JP" w:eastAsia="Noto Sans CJK JP"/>
                <w:sz w:val="19"/>
              </w:rPr>
              <w:t>Prismは「もっとページを読む」ことを深さと定義しない。深さは、(1) 判断を動かす未解決点を見つけ、(2) Web以外も含め最適なEvidence取得手段へ切り替え、(3) Evidenceの独立性とUnknownを保持し、(4) その結果で判断を再計算すること、と定義する。</w:t>
            </w:r>
          </w:p>
        </w:tc>
      </w:tr>
    </w:tbl>
    <w:p>
      <w:pPr>
        <w:spacing w:after="20"/>
      </w:pPr>
    </w:p>
    <w:p>
      <w:pPr>
        <w:pStyle w:val="Heading1"/>
      </w:pPr>
      <w:r>
        <w:t>5. Prism完全体：Decision-Centric Meta-Research Control Plane</w:t>
      </w:r>
    </w:p>
    <w:p>
      <w:pPr>
        <w:jc w:val="center"/>
      </w:pPr>
      <w:r>
        <w:drawing>
          <wp:inline xmlns:a="http://schemas.openxmlformats.org/drawingml/2006/main" xmlns:pic="http://schemas.openxmlformats.org/drawingml/2006/picture">
            <wp:extent cx="6264000" cy="3625359"/>
            <wp:docPr id="2" name="Picture 2" descr="Image: image2.png"/>
            <wp:cNvGraphicFramePr>
              <a:graphicFrameLocks noChangeAspect="1"/>
            </wp:cNvGraphicFramePr>
            <a:graphic>
              <a:graphicData uri="http://schemas.openxmlformats.org/drawingml/2006/picture">
                <pic:pic>
                  <pic:nvPicPr>
                    <pic:cNvPr id="0" name="prism_architecture.png"/>
                    <pic:cNvPicPr/>
                  </pic:nvPicPr>
                  <pic:blipFill>
                    <a:blip r:embed="rId12"/>
                    <a:stretch>
                      <a:fillRect/>
                    </a:stretch>
                  </pic:blipFill>
                  <pic:spPr>
                    <a:xfrm>
                      <a:off x="0" y="0"/>
                      <a:ext cx="6264000" cy="3625359"/>
                    </a:xfrm>
                    <a:prstGeom prst="rect"/>
                  </pic:spPr>
                </pic:pic>
              </a:graphicData>
            </a:graphic>
          </wp:inline>
        </w:drawing>
      </w:r>
    </w:p>
    <w:p>
      <w:pPr>
        <w:keepNext w:val="0"/>
        <w:spacing w:after="80" w:line="288" w:lineRule="auto"/>
      </w:pPr>
      <w:r>
        <w:rPr>
          <w:rFonts w:ascii="Noto Sans CJK JP" w:hAnsi="Noto Sans CJK JP" w:eastAsia="Noto Sans CJK JP"/>
        </w:rPr>
        <w:t>Prismの本体はLLMではない。複数のResearch Worker、データソース、計算、人間への質問を「Research Action」として同列に扱い、その中から投資判断に最も価値がある次の一手を選ぶ制御層である。</w:t>
      </w:r>
    </w:p>
    <w:p>
      <w:pPr>
        <w:pStyle w:val="Heading2"/>
      </w:pPr>
      <w:r>
        <w:t>5.1 Decision Compiler — まず「何を決めるのか」を機械可読にする</w:t>
      </w:r>
    </w:p>
    <w:p>
      <w:pPr>
        <w:keepNext w:val="0"/>
        <w:spacing w:after="80" w:line="288" w:lineRule="auto"/>
      </w:pPr>
      <w:r>
        <w:rPr>
          <w:rFonts w:ascii="Noto Sans CJK JP" w:hAnsi="Noto Sans CJK JP" w:eastAsia="Noto Sans CJK JP"/>
        </w:rPr>
        <w:t>入力は単なる「A社を調べて」ではなく、意思決定を含む。例：投資する/しない、価格上限、条件付き投資、追加DD要否、Entry/Exit前提、IC hurdle等。</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551"/>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7"/>
              </w:rPr>
              <w:t>要素</w:t>
            </w:r>
          </w:p>
        </w:tc>
        <w:tc>
          <w:tcPr>
            <w:tcW w:type="dxa" w:w="7087"/>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7"/>
              </w:rPr>
              <w:t>例</w:t>
            </w:r>
          </w:p>
        </w:tc>
      </w:tr>
      <w:tr>
        <w:trPr>
          <w:cantSplit/>
        </w:trPr>
        <w:tc>
          <w:tcPr>
            <w:tcW w:type="dxa" w:w="2551"/>
            <w:tcMar>
              <w:top w:w="80" w:type="dxa"/>
              <w:start w:w="90" w:type="dxa"/>
              <w:bottom w:w="80" w:type="dxa"/>
              <w:end w:w="90" w:type="dxa"/>
            </w:tcMar>
            <w:vAlign w:val="top"/>
          </w:tcPr>
          <w:p>
            <w:pPr>
              <w:spacing w:after="0" w:line="264" w:lineRule="auto"/>
            </w:pPr>
            <w:r>
              <w:rPr>
                <w:rFonts w:ascii="Noto Sans CJK JP" w:hAnsi="Noto Sans CJK JP" w:eastAsia="Noto Sans CJK JP"/>
                <w:sz w:val="17"/>
              </w:rPr>
              <w:t>Decision alternatives</w:t>
            </w:r>
          </w:p>
        </w:tc>
        <w:tc>
          <w:tcPr>
            <w:tcW w:type="dxa" w:w="7087"/>
            <w:tcMar>
              <w:top w:w="80" w:type="dxa"/>
              <w:start w:w="90" w:type="dxa"/>
              <w:bottom w:w="80" w:type="dxa"/>
              <w:end w:w="90" w:type="dxa"/>
            </w:tcMar>
            <w:vAlign w:val="top"/>
          </w:tcPr>
          <w:p>
            <w:pPr>
              <w:spacing w:after="0" w:line="264" w:lineRule="auto"/>
            </w:pPr>
            <w:r>
              <w:rPr>
                <w:rFonts w:ascii="Noto Sans CJK JP" w:hAnsi="Noto Sans CJK JP" w:eastAsia="Noto Sans CJK JP"/>
                <w:sz w:val="17"/>
              </w:rPr>
              <w:t>Invest / Pass / Invest if EV≤700億 / 再入札</w:t>
            </w:r>
          </w:p>
        </w:tc>
      </w:tr>
      <w:tr>
        <w:trPr>
          <w:cantSplit/>
        </w:trPr>
        <w:tc>
          <w:tcPr>
            <w:tcW w:type="dxa" w:w="255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7"/>
              </w:rPr>
              <w:t>Objective / utility</w:t>
            </w:r>
          </w:p>
        </w:tc>
        <w:tc>
          <w:tcPr>
            <w:tcW w:type="dxa" w:w="7087"/>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7"/>
              </w:rPr>
              <w:t>IRR、MOIC、downside損失、戦略的制約、時間価値</w:t>
            </w:r>
          </w:p>
        </w:tc>
      </w:tr>
      <w:tr>
        <w:trPr>
          <w:cantSplit/>
        </w:trPr>
        <w:tc>
          <w:tcPr>
            <w:tcW w:type="dxa" w:w="2551"/>
            <w:tcMar>
              <w:top w:w="80" w:type="dxa"/>
              <w:start w:w="90" w:type="dxa"/>
              <w:bottom w:w="80" w:type="dxa"/>
              <w:end w:w="90" w:type="dxa"/>
            </w:tcMar>
            <w:vAlign w:val="top"/>
          </w:tcPr>
          <w:p>
            <w:pPr>
              <w:spacing w:after="0" w:line="264" w:lineRule="auto"/>
            </w:pPr>
            <w:r>
              <w:rPr>
                <w:rFonts w:ascii="Noto Sans CJK JP" w:hAnsi="Noto Sans CJK JP" w:eastAsia="Noto Sans CJK JP"/>
                <w:sz w:val="17"/>
              </w:rPr>
              <w:t>Uncertain assumptions</w:t>
            </w:r>
          </w:p>
        </w:tc>
        <w:tc>
          <w:tcPr>
            <w:tcW w:type="dxa" w:w="7087"/>
            <w:tcMar>
              <w:top w:w="80" w:type="dxa"/>
              <w:start w:w="90" w:type="dxa"/>
              <w:bottom w:w="80" w:type="dxa"/>
              <w:end w:w="90" w:type="dxa"/>
            </w:tcMar>
            <w:vAlign w:val="top"/>
          </w:tcPr>
          <w:p>
            <w:pPr>
              <w:spacing w:after="0" w:line="264" w:lineRule="auto"/>
            </w:pPr>
            <w:r>
              <w:rPr>
                <w:rFonts w:ascii="Noto Sans CJK JP" w:hAnsi="Noto Sans CJK JP" w:eastAsia="Noto Sans CJK JP"/>
                <w:sz w:val="17"/>
              </w:rPr>
              <w:t>顧客維持率、市場成長、価格、AI影響、Exit multiple等</w:t>
            </w:r>
          </w:p>
        </w:tc>
      </w:tr>
      <w:tr>
        <w:trPr>
          <w:cantSplit/>
        </w:trPr>
        <w:tc>
          <w:tcPr>
            <w:tcW w:type="dxa" w:w="255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7"/>
              </w:rPr>
              <w:t>Decision threshold</w:t>
            </w:r>
          </w:p>
        </w:tc>
        <w:tc>
          <w:tcPr>
            <w:tcW w:type="dxa" w:w="7087"/>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7"/>
              </w:rPr>
              <w:t>IRR 25%以上、downside IRR 10%以上等</w:t>
            </w:r>
          </w:p>
        </w:tc>
      </w:tr>
      <w:tr>
        <w:trPr>
          <w:cantSplit/>
        </w:trPr>
        <w:tc>
          <w:tcPr>
            <w:tcW w:type="dxa" w:w="2551"/>
            <w:tcMar>
              <w:top w:w="80" w:type="dxa"/>
              <w:start w:w="90" w:type="dxa"/>
              <w:bottom w:w="80" w:type="dxa"/>
              <w:end w:w="90" w:type="dxa"/>
            </w:tcMar>
            <w:vAlign w:val="top"/>
          </w:tcPr>
          <w:p>
            <w:pPr>
              <w:spacing w:after="0" w:line="264" w:lineRule="auto"/>
            </w:pPr>
            <w:r>
              <w:rPr>
                <w:rFonts w:ascii="Noto Sans CJK JP" w:hAnsi="Noto Sans CJK JP" w:eastAsia="Noto Sans CJK JP"/>
                <w:sz w:val="17"/>
              </w:rPr>
              <w:t>Sensitivity link</w:t>
            </w:r>
          </w:p>
        </w:tc>
        <w:tc>
          <w:tcPr>
            <w:tcW w:type="dxa" w:w="7087"/>
            <w:tcMar>
              <w:top w:w="80" w:type="dxa"/>
              <w:start w:w="90" w:type="dxa"/>
              <w:bottom w:w="80" w:type="dxa"/>
              <w:end w:w="90" w:type="dxa"/>
            </w:tcMar>
            <w:vAlign w:val="top"/>
          </w:tcPr>
          <w:p>
            <w:pPr>
              <w:spacing w:after="0" w:line="264" w:lineRule="auto"/>
            </w:pPr>
            <w:r>
              <w:rPr>
                <w:rFonts w:ascii="Noto Sans CJK JP" w:hAnsi="Noto Sans CJK JP" w:eastAsia="Noto Sans CJK JP"/>
                <w:sz w:val="17"/>
              </w:rPr>
              <w:t>各assumptionがLBO/valuation/decisionへどう効くか</w:t>
            </w:r>
          </w:p>
        </w:tc>
      </w:tr>
    </w:tbl>
    <w:p>
      <w:pPr>
        <w:spacing w:after="40"/>
      </w:pPr>
    </w:p>
    <w:tbl>
      <w:tblPr>
        <w:tblW w:type="auto" w:w="0"/>
        <w:jc w:val="center"/>
        <w:tblLayout w:type="autofit"/>
        <w:tblLook w:firstColumn="1" w:firstRow="1" w:lastColumn="0" w:lastRow="0" w:noHBand="0" w:noVBand="1" w:val="04A0"/>
      </w:tblPr>
      <w:tblGrid>
        <w:gridCol w:w="9866"/>
      </w:tblGrid>
      <w:tr>
        <w:trPr>
          <w:cantSplit/>
          <w:tblHeader/>
        </w:trPr>
        <w:tc>
          <w:tcPr>
            <w:tcW w:type="dxa" w:w="9866"/>
            <w:tcMar>
              <w:top w:w="120" w:type="dxa"/>
              <w:start w:w="160" w:type="dxa"/>
              <w:bottom w:w="120" w:type="dxa"/>
              <w:end w:w="160" w:type="dxa"/>
            </w:tcMar>
            <w:shd w:fill="FFF4E5"/>
          </w:tcPr>
          <w:p>
            <w:pPr>
              <w:spacing w:after="0" w:line="276" w:lineRule="auto"/>
            </w:pPr>
            <w:r>
              <w:rPr>
                <w:rFonts w:ascii="Noto Sans CJK JP" w:hAnsi="Noto Sans CJK JP" w:eastAsia="Noto Sans CJK JP"/>
                <w:b/>
                <w:color w:val="B0701F"/>
                <w:sz w:val="21"/>
              </w:rPr>
              <w:t>重要</w:t>
              <w:br/>
            </w:r>
            <w:r>
              <w:rPr>
                <w:rFonts w:ascii="Noto Sans CJK JP" w:hAnsi="Noto Sans CJK JP" w:eastAsia="Noto Sans CJK JP"/>
                <w:sz w:val="19"/>
              </w:rPr>
              <w:t>ここが無いPrismはResearch QCに逆戻りする。Prismは「情報が正しいか」ではなく「情報が間違ったとき投資判断がどう変わるか」を常に持つ。</w:t>
            </w:r>
          </w:p>
        </w:tc>
      </w:tr>
    </w:tbl>
    <w:p>
      <w:pPr>
        <w:spacing w:after="20"/>
      </w:pPr>
    </w:p>
    <w:p>
      <w:pPr>
        <w:pStyle w:val="Heading2"/>
      </w:pPr>
      <w:r>
        <w:t>5.2 OUTER LOOP: Model Challenge Gate — 既知の不確実性だけを最適化しない</w:t>
      </w:r>
    </w:p>
    <w:p>
      <w:pPr>
        <w:keepNext w:val="0"/>
        <w:spacing w:after="80" w:line="288" w:lineRule="auto"/>
      </w:pPr>
      <w:r>
        <w:rPr>
          <w:rFonts w:ascii="Noto Sans CJK JP" w:hAnsi="Noto Sans CJK JP" w:eastAsia="Noto Sans CJK JP"/>
        </w:rPr>
        <w:t>VoIは「すでにモデルに入っている不確実性」を上手く調べる。しかし、重要変数そのものをモデルから落としていれば、精密に間違える。そこでINNER loopの前後に独立したModel Challenge Gateを置く。</w:t>
      </w:r>
    </w:p>
    <w:p>
      <w:pPr>
        <w:spacing w:after="40" w:line="276" w:lineRule="auto"/>
        <w:ind w:left="397" w:hanging="397"/>
      </w:pPr>
      <w:r>
        <w:rPr>
          <w:rFonts w:ascii="Noto Sans CJK JP" w:hAnsi="Noto Sans CJK JP" w:eastAsia="Noto Sans CJK JP"/>
          <w:b/>
        </w:rPr>
        <w:t xml:space="preserve">1.  </w:t>
      </w:r>
      <w:r>
        <w:rPr>
          <w:rFonts w:ascii="Noto Sans CJK JP" w:hAnsi="Noto Sans CJK JP" w:eastAsia="Noto Sans CJK JP"/>
        </w:rPr>
        <w:t>Inside-view lane：対象企業・市場の事実関係を通常Research。</w:t>
      </w:r>
    </w:p>
    <w:p>
      <w:pPr>
        <w:spacing w:after="40" w:line="276" w:lineRule="auto"/>
        <w:ind w:left="397" w:hanging="397"/>
      </w:pPr>
      <w:r>
        <w:rPr>
          <w:rFonts w:ascii="Noto Sans CJK JP" w:hAnsi="Noto Sans CJK JP" w:eastAsia="Noto Sans CJK JP"/>
          <w:b/>
        </w:rPr>
        <w:t xml:space="preserve">2.  </w:t>
      </w:r>
      <w:r>
        <w:rPr>
          <w:rFonts w:ascii="Noto Sans CJK JP" w:hAnsi="Noto Sans CJK JP" w:eastAsia="Noto Sans CJK JP"/>
        </w:rPr>
        <w:t>Falsification lane：現行thesisを成立させる観測可能な含意を作り、反証Evidenceを探す（POPPER/HCQRの発想）。</w:t>
      </w:r>
    </w:p>
    <w:p>
      <w:pPr>
        <w:spacing w:after="40" w:line="276" w:lineRule="auto"/>
        <w:ind w:left="397" w:hanging="397"/>
      </w:pPr>
      <w:r>
        <w:rPr>
          <w:rFonts w:ascii="Noto Sans CJK JP" w:hAnsi="Noto Sans CJK JP" w:eastAsia="Noto Sans CJK JP"/>
          <w:b/>
        </w:rPr>
        <w:t xml:space="preserve">3.  </w:t>
      </w:r>
      <w:r>
        <w:rPr>
          <w:rFonts w:ascii="Noto Sans CJK JP" w:hAnsi="Noto Sans CJK JP" w:eastAsia="Noto Sans CJK JP"/>
        </w:rPr>
        <w:t>Outside-view lane：reference class/base rateを作る。PE意思決定でoutside viewが少数の身近な類似例より良かった実証研究がある [R19]。</w:t>
      </w:r>
    </w:p>
    <w:p>
      <w:pPr>
        <w:spacing w:after="40" w:line="276" w:lineRule="auto"/>
        <w:ind w:left="397" w:hanging="397"/>
      </w:pPr>
      <w:r>
        <w:rPr>
          <w:rFonts w:ascii="Noto Sans CJK JP" w:hAnsi="Noto Sans CJK JP" w:eastAsia="Noto Sans CJK JP"/>
          <w:b/>
        </w:rPr>
        <w:t xml:space="preserve">4.  </w:t>
      </w:r>
      <w:r>
        <w:rPr>
          <w:rFonts w:ascii="Noto Sans CJK JP" w:hAnsi="Noto Sans CJK JP" w:eastAsia="Noto Sans CJK JP"/>
        </w:rPr>
        <w:t>Blind challenge lane：初期段階ではincumbent thesis/他agentの結論を見せず、独立にmissing comparator / structural risk / alternative mechanismを出させる。Multi-agent diversity collapseの知見から、早期相互通信を避ける [R15]。</w:t>
      </w:r>
    </w:p>
    <w:p>
      <w:pPr>
        <w:spacing w:after="40" w:line="276" w:lineRule="auto"/>
        <w:ind w:left="397" w:hanging="397"/>
      </w:pPr>
      <w:r>
        <w:rPr>
          <w:rFonts w:ascii="Noto Sans CJK JP" w:hAnsi="Noto Sans CJK JP" w:eastAsia="Noto Sans CJK JP"/>
          <w:b/>
        </w:rPr>
        <w:t xml:space="preserve">5.  </w:t>
      </w:r>
      <w:r>
        <w:rPr>
          <w:rFonts w:ascii="Noto Sans CJK JP" w:hAnsi="Noto Sans CJK JP" w:eastAsia="Noto Sans CJK JP"/>
        </w:rPr>
        <w:t>Residual/surprise gate：新Evidenceが現行モデルで説明できない、またはdecision confidenceが更新されない場合、モデルに新変数を追加してINNER loopをリセット。</w:t>
      </w:r>
    </w:p>
    <w:p>
      <w:pPr>
        <w:keepNext w:val="0"/>
        <w:spacing w:after="80" w:line="288" w:lineRule="auto"/>
      </w:pPr>
      <w:r>
        <w:rPr>
          <w:rFonts w:ascii="Noto Sans CJK JP" w:hAnsi="Noto Sans CJK JP" w:eastAsia="Noto Sans CJK JP"/>
          <w:color w:val="5A646E"/>
          <w:sz w:val="17"/>
        </w:rPr>
        <w:t>このOUTER loopはMarlinの「新しい枝を増やす」ことを再実装するものではない。目的は候補回答を増やすことではなく、Decision Modelの変数集合・比較対象・因果前提の欠落を監査することである。</w:t>
      </w:r>
    </w:p>
    <w:p>
      <w:pPr>
        <w:pStyle w:val="Heading2"/>
      </w:pPr>
      <w:r>
        <w:t>5.3 Epistemic Ledger — Researchを文章ではなく状態として保持</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757"/>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6"/>
              </w:rPr>
              <w:t>状態</w:t>
            </w:r>
          </w:p>
        </w:tc>
        <w:tc>
          <w:tcPr>
            <w:tcW w:type="dxa" w:w="5159"/>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6"/>
              </w:rPr>
              <w:t>Prismで保持するもの</w:t>
            </w:r>
          </w:p>
        </w:tc>
        <w:tc>
          <w:tcPr>
            <w:tcW w:type="dxa" w:w="2721"/>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6"/>
              </w:rPr>
              <w:t>主な研究根拠</w:t>
            </w:r>
          </w:p>
        </w:tc>
      </w:tr>
      <w:tr>
        <w:trPr>
          <w:cantSplit/>
        </w:trPr>
        <w:tc>
          <w:tcPr>
            <w:tcW w:type="dxa" w:w="1757"/>
            <w:tcMar>
              <w:top w:w="80" w:type="dxa"/>
              <w:start w:w="90" w:type="dxa"/>
              <w:bottom w:w="80" w:type="dxa"/>
              <w:end w:w="90" w:type="dxa"/>
            </w:tcMar>
            <w:vAlign w:val="top"/>
          </w:tcPr>
          <w:p>
            <w:pPr>
              <w:spacing w:after="0" w:line="264" w:lineRule="auto"/>
            </w:pPr>
            <w:r>
              <w:rPr>
                <w:rFonts w:ascii="Noto Sans CJK JP" w:hAnsi="Noto Sans CJK JP" w:eastAsia="Noto Sans CJK JP"/>
                <w:sz w:val="16"/>
              </w:rPr>
              <w:t>Claim / Assumption</w:t>
            </w:r>
          </w:p>
        </w:tc>
        <w:tc>
          <w:tcPr>
            <w:tcW w:type="dxa" w:w="5159"/>
            <w:tcMar>
              <w:top w:w="80" w:type="dxa"/>
              <w:start w:w="90" w:type="dxa"/>
              <w:bottom w:w="80" w:type="dxa"/>
              <w:end w:w="90" w:type="dxa"/>
            </w:tcMar>
            <w:vAlign w:val="top"/>
          </w:tcPr>
          <w:p>
            <w:pPr>
              <w:spacing w:after="0" w:line="264" w:lineRule="auto"/>
            </w:pPr>
            <w:r>
              <w:rPr>
                <w:rFonts w:ascii="Noto Sans CJK JP" w:hAnsi="Noto Sans CJK JP" w:eastAsia="Noto Sans CJK JP"/>
                <w:sz w:val="16"/>
              </w:rPr>
              <w:t>原子的主張、数値範囲、期限、対象、decision link</w:t>
            </w:r>
          </w:p>
        </w:tc>
        <w:tc>
          <w:tcPr>
            <w:tcW w:type="dxa" w:w="2721"/>
            <w:tcMar>
              <w:top w:w="80" w:type="dxa"/>
              <w:start w:w="90" w:type="dxa"/>
              <w:bottom w:w="80" w:type="dxa"/>
              <w:end w:w="90" w:type="dxa"/>
            </w:tcMar>
            <w:vAlign w:val="top"/>
          </w:tcPr>
          <w:p>
            <w:pPr>
              <w:spacing w:after="0" w:line="264" w:lineRule="auto"/>
            </w:pPr>
            <w:r>
              <w:rPr>
                <w:rFonts w:ascii="Noto Sans CJK JP" w:hAnsi="Noto Sans CJK JP" w:eastAsia="Noto Sans CJK JP"/>
                <w:sz w:val="16"/>
              </w:rPr>
              <w:t>DeepTRACE / structured state</w:t>
            </w:r>
          </w:p>
        </w:tc>
      </w:tr>
      <w:tr>
        <w:trPr>
          <w:cantSplit/>
        </w:trPr>
        <w:tc>
          <w:tcPr>
            <w:tcW w:type="dxa" w:w="1757"/>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Evidence</w:t>
            </w:r>
          </w:p>
        </w:tc>
        <w:tc>
          <w:tcPr>
            <w:tcW w:type="dxa" w:w="5159"/>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原文snippet、取得時点、source、支持/反証</w:t>
            </w:r>
          </w:p>
        </w:tc>
        <w:tc>
          <w:tcPr>
            <w:tcW w:type="dxa" w:w="272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DeepTRACE</w:t>
            </w:r>
          </w:p>
        </w:tc>
      </w:tr>
      <w:tr>
        <w:trPr>
          <w:cantSplit/>
        </w:trPr>
        <w:tc>
          <w:tcPr>
            <w:tcW w:type="dxa" w:w="1757"/>
            <w:tcMar>
              <w:top w:w="80" w:type="dxa"/>
              <w:start w:w="90" w:type="dxa"/>
              <w:bottom w:w="80" w:type="dxa"/>
              <w:end w:w="90" w:type="dxa"/>
            </w:tcMar>
            <w:vAlign w:val="top"/>
          </w:tcPr>
          <w:p>
            <w:pPr>
              <w:spacing w:after="0" w:line="264" w:lineRule="auto"/>
            </w:pPr>
            <w:r>
              <w:rPr>
                <w:rFonts w:ascii="Noto Sans CJK JP" w:hAnsi="Noto Sans CJK JP" w:eastAsia="Noto Sans CJK JP"/>
                <w:sz w:val="16"/>
              </w:rPr>
              <w:t>Provenance dependency</w:t>
            </w:r>
          </w:p>
        </w:tc>
        <w:tc>
          <w:tcPr>
            <w:tcW w:type="dxa" w:w="5159"/>
            <w:tcMar>
              <w:top w:w="80" w:type="dxa"/>
              <w:start w:w="90" w:type="dxa"/>
              <w:bottom w:w="80" w:type="dxa"/>
              <w:end w:w="90" w:type="dxa"/>
            </w:tcMar>
            <w:vAlign w:val="top"/>
          </w:tcPr>
          <w:p>
            <w:pPr>
              <w:spacing w:after="0" w:line="264" w:lineRule="auto"/>
            </w:pPr>
            <w:r>
              <w:rPr>
                <w:rFonts w:ascii="Noto Sans CJK JP" w:hAnsi="Noto Sans CJK JP" w:eastAsia="Noto Sans CJK JP"/>
                <w:sz w:val="16"/>
              </w:rPr>
              <w:t>転載・共通上流source・同一データの派生</w:t>
            </w:r>
          </w:p>
        </w:tc>
        <w:tc>
          <w:tcPr>
            <w:tcW w:type="dxa" w:w="2721"/>
            <w:tcMar>
              <w:top w:w="80" w:type="dxa"/>
              <w:start w:w="90" w:type="dxa"/>
              <w:bottom w:w="80" w:type="dxa"/>
              <w:end w:w="90" w:type="dxa"/>
            </w:tcMar>
            <w:vAlign w:val="top"/>
          </w:tcPr>
          <w:p>
            <w:pPr>
              <w:spacing w:after="0" w:line="264" w:lineRule="auto"/>
            </w:pPr>
            <w:r>
              <w:rPr>
                <w:rFonts w:ascii="Noto Sans CJK JP" w:hAnsi="Noto Sans CJK JP" w:eastAsia="Noto Sans CJK JP"/>
                <w:sz w:val="16"/>
              </w:rPr>
              <w:t>CAMA</w:t>
            </w:r>
          </w:p>
        </w:tc>
      </w:tr>
      <w:tr>
        <w:trPr>
          <w:cantSplit/>
        </w:trPr>
        <w:tc>
          <w:tcPr>
            <w:tcW w:type="dxa" w:w="1757"/>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Retrievability</w:t>
            </w:r>
          </w:p>
        </w:tc>
        <w:tc>
          <w:tcPr>
            <w:tcW w:type="dxa" w:w="5159"/>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そのchannelで見つけられる可能性、known-positive probe結果</w:t>
            </w:r>
          </w:p>
        </w:tc>
        <w:tc>
          <w:tcPr>
            <w:tcW w:type="dxa" w:w="272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ARGUS / retrieval calibration</w:t>
            </w:r>
          </w:p>
        </w:tc>
      </w:tr>
      <w:tr>
        <w:trPr>
          <w:cantSplit/>
        </w:trPr>
        <w:tc>
          <w:tcPr>
            <w:tcW w:type="dxa" w:w="1757"/>
            <w:tcMar>
              <w:top w:w="80" w:type="dxa"/>
              <w:start w:w="90" w:type="dxa"/>
              <w:bottom w:w="80" w:type="dxa"/>
              <w:end w:w="90" w:type="dxa"/>
            </w:tcMar>
            <w:vAlign w:val="top"/>
          </w:tcPr>
          <w:p>
            <w:pPr>
              <w:spacing w:after="0" w:line="264" w:lineRule="auto"/>
            </w:pPr>
            <w:r>
              <w:rPr>
                <w:rFonts w:ascii="Noto Sans CJK JP" w:hAnsi="Noto Sans CJK JP" w:eastAsia="Noto Sans CJK JP"/>
                <w:sz w:val="16"/>
              </w:rPr>
              <w:t>Negative status</w:t>
            </w:r>
          </w:p>
        </w:tc>
        <w:tc>
          <w:tcPr>
            <w:tcW w:type="dxa" w:w="5159"/>
            <w:tcMar>
              <w:top w:w="80" w:type="dxa"/>
              <w:start w:w="90" w:type="dxa"/>
              <w:bottom w:w="80" w:type="dxa"/>
              <w:end w:w="90" w:type="dxa"/>
            </w:tcMar>
            <w:vAlign w:val="top"/>
          </w:tcPr>
          <w:p>
            <w:pPr>
              <w:spacing w:after="0" w:line="264" w:lineRule="auto"/>
            </w:pPr>
            <w:r>
              <w:rPr>
                <w:rFonts w:ascii="Noto Sans CJK JP" w:hAnsi="Noto Sans CJK JP" w:eastAsia="Noto Sans CJK JP"/>
                <w:sz w:val="16"/>
              </w:rPr>
              <w:t>Supported negative / Unknown / Not searched</w:t>
            </w:r>
          </w:p>
        </w:tc>
        <w:tc>
          <w:tcPr>
            <w:tcW w:type="dxa" w:w="2721"/>
            <w:tcMar>
              <w:top w:w="80" w:type="dxa"/>
              <w:start w:w="90" w:type="dxa"/>
              <w:bottom w:w="80" w:type="dxa"/>
              <w:end w:w="90" w:type="dxa"/>
            </w:tcMar>
            <w:vAlign w:val="top"/>
          </w:tcPr>
          <w:p>
            <w:pPr>
              <w:spacing w:after="0" w:line="264" w:lineRule="auto"/>
            </w:pPr>
            <w:r>
              <w:rPr>
                <w:rFonts w:ascii="Noto Sans CJK JP" w:hAnsi="Noto Sans CJK JP" w:eastAsia="Noto Sans CJK JP"/>
                <w:sz w:val="16"/>
              </w:rPr>
              <w:t>CROWN-QA</w:t>
            </w:r>
          </w:p>
        </w:tc>
      </w:tr>
      <w:tr>
        <w:trPr>
          <w:cantSplit/>
        </w:trPr>
        <w:tc>
          <w:tcPr>
            <w:tcW w:type="dxa" w:w="1757"/>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Uncertainty</w:t>
            </w:r>
          </w:p>
        </w:tc>
        <w:tc>
          <w:tcPr>
            <w:tcW w:type="dxa" w:w="5159"/>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区間・distribution・qualitative confidence</w:t>
            </w:r>
          </w:p>
        </w:tc>
        <w:tc>
          <w:tcPr>
            <w:tcW w:type="dxa" w:w="272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CGDP / decision analysis</w:t>
            </w:r>
          </w:p>
        </w:tc>
      </w:tr>
      <w:tr>
        <w:trPr>
          <w:cantSplit/>
        </w:trPr>
        <w:tc>
          <w:tcPr>
            <w:tcW w:type="dxa" w:w="1757"/>
            <w:tcMar>
              <w:top w:w="80" w:type="dxa"/>
              <w:start w:w="90" w:type="dxa"/>
              <w:bottom w:w="80" w:type="dxa"/>
              <w:end w:w="90" w:type="dxa"/>
            </w:tcMar>
            <w:vAlign w:val="top"/>
          </w:tcPr>
          <w:p>
            <w:pPr>
              <w:spacing w:after="0" w:line="264" w:lineRule="auto"/>
            </w:pPr>
            <w:r>
              <w:rPr>
                <w:rFonts w:ascii="Noto Sans CJK JP" w:hAnsi="Noto Sans CJK JP" w:eastAsia="Noto Sans CJK JP"/>
                <w:sz w:val="16"/>
              </w:rPr>
              <w:t>Decision leverage</w:t>
            </w:r>
          </w:p>
        </w:tc>
        <w:tc>
          <w:tcPr>
            <w:tcW w:type="dxa" w:w="5159"/>
            <w:tcMar>
              <w:top w:w="80" w:type="dxa"/>
              <w:start w:w="90" w:type="dxa"/>
              <w:bottom w:w="80" w:type="dxa"/>
              <w:end w:w="90" w:type="dxa"/>
            </w:tcMar>
            <w:vAlign w:val="top"/>
          </w:tcPr>
          <w:p>
            <w:pPr>
              <w:spacing w:after="0" w:line="264" w:lineRule="auto"/>
            </w:pPr>
            <w:r>
              <w:rPr>
                <w:rFonts w:ascii="Noto Sans CJK JP" w:hAnsi="Noto Sans CJK JP" w:eastAsia="Noto Sans CJK JP"/>
                <w:sz w:val="16"/>
              </w:rPr>
              <w:t>前提を動かしたときIRR/MOIC/decisionがどれだけ変わるか</w:t>
            </w:r>
          </w:p>
        </w:tc>
        <w:tc>
          <w:tcPr>
            <w:tcW w:type="dxa" w:w="2721"/>
            <w:tcMar>
              <w:top w:w="80" w:type="dxa"/>
              <w:start w:w="90" w:type="dxa"/>
              <w:bottom w:w="80" w:type="dxa"/>
              <w:end w:w="90" w:type="dxa"/>
            </w:tcMar>
            <w:vAlign w:val="top"/>
          </w:tcPr>
          <w:p>
            <w:pPr>
              <w:spacing w:after="0" w:line="264" w:lineRule="auto"/>
            </w:pPr>
            <w:r>
              <w:rPr>
                <w:rFonts w:ascii="Noto Sans CJK JP" w:hAnsi="Noto Sans CJK JP" w:eastAsia="Noto Sans CJK JP"/>
                <w:sz w:val="16"/>
              </w:rPr>
              <w:t>Sensitivity / VoI</w:t>
            </w:r>
          </w:p>
        </w:tc>
      </w:tr>
    </w:tbl>
    <w:p>
      <w:pPr>
        <w:spacing w:after="40"/>
      </w:pPr>
    </w:p>
    <w:p>
      <w:r>
        <w:br w:type="page"/>
      </w:r>
    </w:p>
    <w:p>
      <w:pPr>
        <w:pStyle w:val="Heading2"/>
      </w:pPr>
      <w:r>
        <w:t>5.4 INNER LOOP: Meta-Research Controller — Prismの心臓部</w:t>
      </w:r>
    </w:p>
    <w:p>
      <w:pPr>
        <w:keepNext w:val="0"/>
        <w:spacing w:after="80" w:line="288" w:lineRule="auto"/>
      </w:pPr>
      <w:r>
        <w:rPr>
          <w:rFonts w:ascii="Noto Sans CJK JP" w:hAnsi="Noto Sans CJK JP" w:eastAsia="Noto Sans CJK JP"/>
        </w:rPr>
        <w:t>Russell &amp; Wefaldのmetareasoningは、限られた計算資源の下で「どの計算を次に行うか」を、その計算が外部の行動を改善する効用から選ぶ考え方を定式化した [R16]。MillerのSequential Informationは、1つ情報を得ると次の情報の価値自体が変わることを示す [R17]。Prismはこの原理をResearch Actionへ適用する。</w:t>
      </w:r>
    </w:p>
    <w:tbl>
      <w:tblPr>
        <w:tblW w:type="auto" w:w="0"/>
        <w:jc w:val="center"/>
        <w:tblLayout w:type="autofit"/>
        <w:tblLook w:firstColumn="1" w:firstRow="1" w:lastColumn="0" w:lastRow="0" w:noHBand="0" w:noVBand="1" w:val="04A0"/>
      </w:tblPr>
      <w:tblGrid>
        <w:gridCol w:w="9866"/>
      </w:tblGrid>
      <w:tr>
        <w:trPr>
          <w:cantSplit/>
          <w:tblHeader/>
        </w:trPr>
        <w:tc>
          <w:tcPr>
            <w:tcW w:type="dxa" w:w="9866"/>
            <w:tcMar>
              <w:top w:w="120" w:type="dxa"/>
              <w:start w:w="160" w:type="dxa"/>
              <w:bottom w:w="120" w:type="dxa"/>
              <w:end w:w="160" w:type="dxa"/>
            </w:tcMar>
            <w:shd w:fill="EAF2F8"/>
          </w:tcPr>
          <w:p>
            <w:pPr>
              <w:spacing w:after="0" w:line="276" w:lineRule="auto"/>
            </w:pPr>
            <w:r>
              <w:rPr>
                <w:rFonts w:ascii="Noto Sans CJK JP" w:hAnsi="Noto Sans CJK JP" w:eastAsia="Noto Sans CJK JP"/>
                <w:b/>
                <w:color w:val="1F3751"/>
                <w:sz w:val="21"/>
              </w:rPr>
              <w:t>理論上の選択規則</w:t>
              <w:br/>
            </w:r>
            <w:r>
              <w:rPr>
                <w:rFonts w:ascii="Noto Sans CJK JP" w:hAnsi="Noto Sans CJK JP" w:eastAsia="Noto Sans CJK JP"/>
                <w:sz w:val="19"/>
              </w:rPr>
              <w:t>各Research Action aについて、結果oを得た後の最適投資判断の期待効用が、現在の最適判断よりどれだけ改善するかを見積もり、情報取得コスト・時間・失敗確率を差し引く。最大のNet Valueを持つActionだけを実行する。</w:t>
            </w:r>
          </w:p>
        </w:tc>
      </w:tr>
    </w:tbl>
    <w:p>
      <w:pPr>
        <w:spacing w:after="20"/>
      </w:pPr>
    </w:p>
    <w:p>
      <w:pPr>
        <w:keepNext w:val="0"/>
        <w:spacing w:after="80" w:line="288" w:lineRule="auto"/>
      </w:pPr>
      <w:r>
        <w:rPr>
          <w:rFonts w:ascii="Noto Sans CJK JP" w:hAnsi="Noto Sans CJK JP" w:eastAsia="Noto Sans CJK JP"/>
          <w:b/>
        </w:rPr>
        <w:t>概念式：</w:t>
      </w:r>
      <w:r>
        <w:rPr>
          <w:rFonts w:ascii="Noto Sans CJK JP" w:hAnsi="Noto Sans CJK JP" w:eastAsia="Noto Sans CJK JP"/>
        </w:rPr>
      </w:r>
    </w:p>
    <w:p>
      <w:pPr>
        <w:jc w:val="center"/>
      </w:pPr>
      <w:r>
        <w:rPr>
          <w:rFonts w:ascii="Noto Sans CJK JP" w:hAnsi="Noto Sans CJK JP" w:eastAsia="Noto Sans CJK JP"/>
          <w:b/>
          <w:color w:val="1F3751"/>
          <w:sz w:val="22"/>
        </w:rPr>
        <w:t>VOI(a) = Eₒ[ max_d E[U(d,θ) | Sₜ, o, a] ] − max_d E[U(d,θ) | Sₜ]</w:t>
      </w:r>
    </w:p>
    <w:p>
      <w:pPr>
        <w:jc w:val="center"/>
      </w:pPr>
      <w:r>
        <w:rPr>
          <w:rFonts w:ascii="Noto Sans CJK JP" w:hAnsi="Noto Sans CJK JP" w:eastAsia="Noto Sans CJK JP"/>
          <w:b/>
          <w:color w:val="2F5496"/>
          <w:sz w:val="21"/>
        </w:rPr>
        <w:t>NetResearchValue(a) = VOI(a) − λ₁·Cost(a) − λ₂·Time(a) − λ₃·QualityRisk(a)</w:t>
      </w:r>
    </w:p>
    <w:p>
      <w:pPr>
        <w:keepNext w:val="0"/>
        <w:spacing w:after="80" w:line="288" w:lineRule="auto"/>
      </w:pPr>
      <w:r>
        <w:rPr>
          <w:rFonts w:ascii="Noto Sans CJK JP" w:hAnsi="Noto Sans CJK JP" w:eastAsia="Noto Sans CJK JP"/>
        </w:rPr>
        <w:t>ただしMVPで精密なBayesian posteriorを偽装してはいけない。初期実装では以下の半定量スコアでrankし、実績データから校正する。</w:t>
      </w:r>
    </w:p>
    <w:p>
      <w:pPr>
        <w:jc w:val="center"/>
      </w:pPr>
      <w:r>
        <w:rPr>
          <w:rFonts w:ascii="Noto Sans CJK JP" w:hAnsi="Noto Sans CJK JP" w:eastAsia="Noto Sans CJK JP"/>
          <w:b/>
          <w:color w:val="2E7488"/>
          <w:sz w:val="21"/>
        </w:rPr>
        <w:t>Priority ≈ DecisionSensitivity × Uncertainty × DiscriminativePower × Retrievability × Independence ÷ Cost</w:t>
      </w:r>
    </w:p>
    <w:p>
      <w:pPr>
        <w:pStyle w:val="ListBullet"/>
        <w:spacing w:after="40" w:line="276" w:lineRule="auto"/>
      </w:pPr>
      <w:r>
        <w:rPr>
          <w:rFonts w:ascii="Noto Sans CJK JP" w:hAnsi="Noto Sans CJK JP" w:eastAsia="Noto Sans CJK JP"/>
        </w:rPr>
        <w:t>DecisionSensitivity：その前提を妥当範囲で動かした時、投資可否・価格・IRRがどれだけ変わるか。</w:t>
      </w:r>
    </w:p>
    <w:p>
      <w:pPr>
        <w:pStyle w:val="ListBullet"/>
        <w:spacing w:after="40" w:line="276" w:lineRule="auto"/>
      </w:pPr>
      <w:r>
        <w:rPr>
          <w:rFonts w:ascii="Noto Sans CJK JP" w:hAnsi="Noto Sans CJK JP" w:eastAsia="Noto Sans CJK JP"/>
        </w:rPr>
        <w:t>Uncertainty：Evidenceが弱い、範囲が広い、矛盾が大きい等。</w:t>
      </w:r>
    </w:p>
    <w:p>
      <w:pPr>
        <w:pStyle w:val="ListBullet"/>
        <w:spacing w:after="40" w:line="276" w:lineRule="auto"/>
      </w:pPr>
      <w:r>
        <w:rPr>
          <w:rFonts w:ascii="Noto Sans CJK JP" w:hAnsi="Noto Sans CJK JP" w:eastAsia="Noto Sans CJK JP"/>
        </w:rPr>
        <w:t>DiscriminativePower：得られる観測が competing decision / assumptionを区別できる可能性。</w:t>
      </w:r>
    </w:p>
    <w:p>
      <w:pPr>
        <w:pStyle w:val="ListBullet"/>
        <w:spacing w:after="40" w:line="276" w:lineRule="auto"/>
      </w:pPr>
      <w:r>
        <w:rPr>
          <w:rFonts w:ascii="Noto Sans CJK JP" w:hAnsi="Noto Sans CJK JP" w:eastAsia="Noto Sans CJK JP"/>
        </w:rPr>
        <w:t>Retrievability：そのchannel/actionで実際に答えを取れる可能性。Webで見つからないものにWeb予算を浪費しない。</w:t>
      </w:r>
    </w:p>
    <w:p>
      <w:pPr>
        <w:pStyle w:val="ListBullet"/>
        <w:spacing w:after="40" w:line="276" w:lineRule="auto"/>
      </w:pPr>
      <w:r>
        <w:rPr>
          <w:rFonts w:ascii="Noto Sans CJK JP" w:hAnsi="Noto Sans CJK JP" w:eastAsia="Noto Sans CJK JP"/>
        </w:rPr>
        <w:t>Independence：既存Evidenceと独立した上流sourceを得られる可能性。</w:t>
      </w:r>
    </w:p>
    <w:p>
      <w:pPr>
        <w:pStyle w:val="ListBullet"/>
        <w:spacing w:after="40" w:line="276" w:lineRule="auto"/>
      </w:pPr>
      <w:r>
        <w:rPr>
          <w:rFonts w:ascii="Noto Sans CJK JP" w:hAnsi="Noto Sans CJK JP" w:eastAsia="Noto Sans CJK JP"/>
        </w:rPr>
        <w:t>Cost：API費用だけでなく、人間時間・専門家費用・案件速度への影響。</w:t>
      </w:r>
    </w:p>
    <w:p>
      <w:pPr>
        <w:keepNext w:val="0"/>
        <w:spacing w:after="80" w:line="288" w:lineRule="auto"/>
      </w:pPr>
      <w:r>
        <w:rPr>
          <w:rFonts w:ascii="Noto Sans CJK JP" w:hAnsi="Noto Sans CJK JP" w:eastAsia="Noto Sans CJK JP"/>
          <w:color w:val="5A646E"/>
          <w:sz w:val="17"/>
        </w:rPr>
        <w:t>注意：2026年にもLLM Search AgentでVoIによるbudget controlの先行研究がある [R18]。Prismの差別化は「VoIを使った」ことではなく、Decision Compiler、OUTER model challenge、Evidence dependency/retrievability、heterogeneous action routing、outcome calibrationまで一体化する点に置く。</w:t>
      </w:r>
    </w:p>
    <w:p>
      <w:pPr>
        <w:pStyle w:val="Heading2"/>
      </w:pPr>
      <w:r>
        <w:t>5.5 Action Router — 「Webで分からない」を永遠にWeb検索しない</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721"/>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6"/>
              </w:rPr>
              <w:t>Evidence need</w:t>
            </w:r>
          </w:p>
        </w:tc>
        <w:tc>
          <w:tcPr>
            <w:tcW w:type="dxa" w:w="3685"/>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6"/>
              </w:rPr>
              <w:t>候補Action</w:t>
            </w:r>
          </w:p>
        </w:tc>
        <w:tc>
          <w:tcPr>
            <w:tcW w:type="dxa" w:w="3231"/>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6"/>
              </w:rPr>
              <w:t>Prismの判断</w:t>
            </w:r>
          </w:p>
        </w:tc>
      </w:tr>
      <w:tr>
        <w:trPr>
          <w:cantSplit/>
        </w:trPr>
        <w:tc>
          <w:tcPr>
            <w:tcW w:type="dxa" w:w="2721"/>
            <w:tcMar>
              <w:top w:w="80" w:type="dxa"/>
              <w:start w:w="90" w:type="dxa"/>
              <w:bottom w:w="80" w:type="dxa"/>
              <w:end w:w="90" w:type="dxa"/>
            </w:tcMar>
            <w:vAlign w:val="top"/>
          </w:tcPr>
          <w:p>
            <w:pPr>
              <w:spacing w:after="0" w:line="264" w:lineRule="auto"/>
            </w:pPr>
            <w:r>
              <w:rPr>
                <w:rFonts w:ascii="Noto Sans CJK JP" w:hAnsi="Noto Sans CJK JP" w:eastAsia="Noto Sans CJK JP"/>
                <w:sz w:val="16"/>
              </w:rPr>
              <w:t>公開市場/競争情報</w:t>
            </w:r>
          </w:p>
        </w:tc>
        <w:tc>
          <w:tcPr>
            <w:tcW w:type="dxa" w:w="3685"/>
            <w:tcMar>
              <w:top w:w="80" w:type="dxa"/>
              <w:start w:w="90" w:type="dxa"/>
              <w:bottom w:w="80" w:type="dxa"/>
              <w:end w:w="90" w:type="dxa"/>
            </w:tcMar>
            <w:vAlign w:val="top"/>
          </w:tcPr>
          <w:p>
            <w:pPr>
              <w:spacing w:after="0" w:line="264" w:lineRule="auto"/>
            </w:pPr>
            <w:r>
              <w:rPr>
                <w:rFonts w:ascii="Noto Sans CJK JP" w:hAnsi="Noto Sans CJK JP" w:eastAsia="Noto Sans CJK JP"/>
                <w:sz w:val="16"/>
              </w:rPr>
              <w:t>OpenAI/Google DR、Marlin、AlphaSense等</w:t>
            </w:r>
          </w:p>
        </w:tc>
        <w:tc>
          <w:tcPr>
            <w:tcW w:type="dxa" w:w="3231"/>
            <w:tcMar>
              <w:top w:w="80" w:type="dxa"/>
              <w:start w:w="90" w:type="dxa"/>
              <w:bottom w:w="80" w:type="dxa"/>
              <w:end w:w="90" w:type="dxa"/>
            </w:tcMar>
            <w:vAlign w:val="top"/>
          </w:tcPr>
          <w:p>
            <w:pPr>
              <w:spacing w:after="0" w:line="264" w:lineRule="auto"/>
            </w:pPr>
            <w:r>
              <w:rPr>
                <w:rFonts w:ascii="Noto Sans CJK JP" w:hAnsi="Noto Sans CJK JP" w:eastAsia="Noto Sans CJK JP"/>
                <w:sz w:val="16"/>
              </w:rPr>
              <w:t>広さ/深さ/ソース品質とコストでWorker選択</w:t>
            </w:r>
          </w:p>
        </w:tc>
      </w:tr>
      <w:tr>
        <w:trPr>
          <w:cantSplit/>
        </w:trPr>
        <w:tc>
          <w:tcPr>
            <w:tcW w:type="dxa" w:w="272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対象会社の顧客継続率</w:t>
            </w:r>
          </w:p>
        </w:tc>
        <w:tc>
          <w:tcPr>
            <w:tcW w:type="dxa" w:w="3685"/>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VDR、CRM、customer cohort計算</w:t>
            </w:r>
          </w:p>
        </w:tc>
        <w:tc>
          <w:tcPr>
            <w:tcW w:type="dxa" w:w="323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Web retrievabilityが低いなら即private dataへ</w:t>
            </w:r>
          </w:p>
        </w:tc>
      </w:tr>
      <w:tr>
        <w:trPr>
          <w:cantSplit/>
        </w:trPr>
        <w:tc>
          <w:tcPr>
            <w:tcW w:type="dxa" w:w="2721"/>
            <w:tcMar>
              <w:top w:w="80" w:type="dxa"/>
              <w:start w:w="90" w:type="dxa"/>
              <w:bottom w:w="80" w:type="dxa"/>
              <w:end w:w="90" w:type="dxa"/>
            </w:tcMar>
            <w:vAlign w:val="top"/>
          </w:tcPr>
          <w:p>
            <w:pPr>
              <w:spacing w:after="0" w:line="264" w:lineRule="auto"/>
            </w:pPr>
            <w:r>
              <w:rPr>
                <w:rFonts w:ascii="Noto Sans CJK JP" w:hAnsi="Noto Sans CJK JP" w:eastAsia="Noto Sans CJK JP"/>
                <w:sz w:val="16"/>
              </w:rPr>
              <w:t>Management claimの裏取り</w:t>
            </w:r>
          </w:p>
        </w:tc>
        <w:tc>
          <w:tcPr>
            <w:tcW w:type="dxa" w:w="3685"/>
            <w:tcMar>
              <w:top w:w="80" w:type="dxa"/>
              <w:start w:w="90" w:type="dxa"/>
              <w:bottom w:w="80" w:type="dxa"/>
              <w:end w:w="90" w:type="dxa"/>
            </w:tcMar>
            <w:vAlign w:val="top"/>
          </w:tcPr>
          <w:p>
            <w:pPr>
              <w:spacing w:after="0" w:line="264" w:lineRule="auto"/>
            </w:pPr>
            <w:r>
              <w:rPr>
                <w:rFonts w:ascii="Noto Sans CJK JP" w:hAnsi="Noto Sans CJK JP" w:eastAsia="Noto Sans CJK JP"/>
                <w:sz w:val="16"/>
              </w:rPr>
              <w:t>外部premium source + expert + VDR</w:t>
            </w:r>
          </w:p>
        </w:tc>
        <w:tc>
          <w:tcPr>
            <w:tcW w:type="dxa" w:w="3231"/>
            <w:tcMar>
              <w:top w:w="80" w:type="dxa"/>
              <w:start w:w="90" w:type="dxa"/>
              <w:bottom w:w="80" w:type="dxa"/>
              <w:end w:w="90" w:type="dxa"/>
            </w:tcMar>
            <w:vAlign w:val="top"/>
          </w:tcPr>
          <w:p>
            <w:pPr>
              <w:spacing w:after="0" w:line="264" w:lineRule="auto"/>
            </w:pPr>
            <w:r>
              <w:rPr>
                <w:rFonts w:ascii="Noto Sans CJK JP" w:hAnsi="Noto Sans CJK JP" w:eastAsia="Noto Sans CJK JP"/>
                <w:sz w:val="16"/>
              </w:rPr>
              <w:t>独立sourceを優先</w:t>
            </w:r>
          </w:p>
        </w:tc>
      </w:tr>
      <w:tr>
        <w:trPr>
          <w:cantSplit/>
        </w:trPr>
        <w:tc>
          <w:tcPr>
            <w:tcW w:type="dxa" w:w="272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経営者の意図/未公開計画</w:t>
            </w:r>
          </w:p>
        </w:tc>
        <w:tc>
          <w:tcPr>
            <w:tcW w:type="dxa" w:w="3685"/>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Management Q&amp;A / expert interview</w:t>
            </w:r>
          </w:p>
        </w:tc>
        <w:tc>
          <w:tcPr>
            <w:tcW w:type="dxa" w:w="323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検索では解決不能として質問を生成</w:t>
            </w:r>
          </w:p>
        </w:tc>
      </w:tr>
      <w:tr>
        <w:trPr>
          <w:cantSplit/>
        </w:trPr>
        <w:tc>
          <w:tcPr>
            <w:tcW w:type="dxa" w:w="2721"/>
            <w:tcMar>
              <w:top w:w="80" w:type="dxa"/>
              <w:start w:w="90" w:type="dxa"/>
              <w:bottom w:w="80" w:type="dxa"/>
              <w:end w:w="90" w:type="dxa"/>
            </w:tcMar>
            <w:vAlign w:val="top"/>
          </w:tcPr>
          <w:p>
            <w:pPr>
              <w:spacing w:after="0" w:line="264" w:lineRule="auto"/>
            </w:pPr>
            <w:r>
              <w:rPr>
                <w:rFonts w:ascii="Noto Sans CJK JP" w:hAnsi="Noto Sans CJK JP" w:eastAsia="Noto Sans CJK JP"/>
                <w:sz w:val="16"/>
              </w:rPr>
              <w:t>LBO影響</w:t>
            </w:r>
          </w:p>
        </w:tc>
        <w:tc>
          <w:tcPr>
            <w:tcW w:type="dxa" w:w="3685"/>
            <w:tcMar>
              <w:top w:w="80" w:type="dxa"/>
              <w:start w:w="90" w:type="dxa"/>
              <w:bottom w:w="80" w:type="dxa"/>
              <w:end w:w="90" w:type="dxa"/>
            </w:tcMar>
            <w:vAlign w:val="top"/>
          </w:tcPr>
          <w:p>
            <w:pPr>
              <w:spacing w:after="0" w:line="264" w:lineRule="auto"/>
            </w:pPr>
            <w:r>
              <w:rPr>
                <w:rFonts w:ascii="Noto Sans CJK JP" w:hAnsi="Noto Sans CJK JP" w:eastAsia="Noto Sans CJK JP"/>
                <w:sz w:val="16"/>
              </w:rPr>
              <w:t>Excel/Python/model tool</w:t>
            </w:r>
          </w:p>
        </w:tc>
        <w:tc>
          <w:tcPr>
            <w:tcW w:type="dxa" w:w="3231"/>
            <w:tcMar>
              <w:top w:w="80" w:type="dxa"/>
              <w:start w:w="90" w:type="dxa"/>
              <w:bottom w:w="80" w:type="dxa"/>
              <w:end w:w="90" w:type="dxa"/>
            </w:tcMar>
            <w:vAlign w:val="top"/>
          </w:tcPr>
          <w:p>
            <w:pPr>
              <w:spacing w:after="0" w:line="264" w:lineRule="auto"/>
            </w:pPr>
            <w:r>
              <w:rPr>
                <w:rFonts w:ascii="Noto Sans CJK JP" w:hAnsi="Noto Sans CJK JP" w:eastAsia="Noto Sans CJK JP"/>
                <w:sz w:val="16"/>
              </w:rPr>
              <w:t>言語モデルの文章ではなくdeterministic calculation</w:t>
            </w:r>
          </w:p>
        </w:tc>
      </w:tr>
      <w:tr>
        <w:trPr>
          <w:cantSplit/>
        </w:trPr>
        <w:tc>
          <w:tcPr>
            <w:tcW w:type="dxa" w:w="272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「問題がない」主張</w:t>
            </w:r>
          </w:p>
        </w:tc>
        <w:tc>
          <w:tcPr>
            <w:tcW w:type="dxa" w:w="3685"/>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coverage probe + negative certificate</w:t>
            </w:r>
          </w:p>
        </w:tc>
        <w:tc>
          <w:tcPr>
            <w:tcW w:type="dxa" w:w="323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CROWN-QA型にUnknownを維持</w:t>
            </w:r>
          </w:p>
        </w:tc>
      </w:tr>
    </w:tbl>
    <w:p>
      <w:pPr>
        <w:spacing w:after="40"/>
      </w:pPr>
    </w:p>
    <w:tbl>
      <w:tblPr>
        <w:tblW w:type="auto" w:w="0"/>
        <w:jc w:val="center"/>
        <w:tblLayout w:type="autofit"/>
        <w:tblLook w:firstColumn="1" w:firstRow="1" w:lastColumn="0" w:lastRow="0" w:noHBand="0" w:noVBand="1" w:val="04A0"/>
      </w:tblPr>
      <w:tblGrid>
        <w:gridCol w:w="9866"/>
      </w:tblGrid>
      <w:tr>
        <w:trPr>
          <w:cantSplit/>
          <w:tblHeader/>
        </w:trPr>
        <w:tc>
          <w:tcPr>
            <w:tcW w:type="dxa" w:w="9866"/>
            <w:tcMar>
              <w:top w:w="120" w:type="dxa"/>
              <w:start w:w="160" w:type="dxa"/>
              <w:bottom w:w="120" w:type="dxa"/>
              <w:end w:w="160" w:type="dxa"/>
            </w:tcMar>
            <w:shd w:fill="EDF6EE"/>
          </w:tcPr>
          <w:p>
            <w:pPr>
              <w:spacing w:after="0" w:line="276" w:lineRule="auto"/>
            </w:pPr>
            <w:r>
              <w:rPr>
                <w:rFonts w:ascii="Noto Sans CJK JP" w:hAnsi="Noto Sans CJK JP" w:eastAsia="Noto Sans CJK JP"/>
                <w:b/>
                <w:color w:val="376E46"/>
                <w:sz w:val="21"/>
              </w:rPr>
              <w:t>「全部Web通り」問題への回答</w:t>
              <w:br/>
            </w:r>
            <w:r>
              <w:rPr>
                <w:rFonts w:ascii="Noto Sans CJK JP" w:hAnsi="Noto Sans CJK JP" w:eastAsia="Noto Sans CJK JP"/>
                <w:sz w:val="19"/>
              </w:rPr>
              <w:t>PrismがDeep Researchより深くなる条件は、Webのページ数ではない。Decision-criticalなのにpublic retrievabilityが低いと判断した瞬間に、VDR・内部データ・Expert・Management request・計算へEvidence modalityを切り替えること。アクセスできない場合は“Unknown”を残し、「これを取れなければ判断confidenceを上げない」と明示する。</w:t>
            </w:r>
          </w:p>
        </w:tc>
      </w:tr>
    </w:tbl>
    <w:p>
      <w:pPr>
        <w:spacing w:after="20"/>
      </w:pPr>
    </w:p>
    <w:p>
      <w:pPr>
        <w:pStyle w:val="Heading2"/>
      </w:pPr>
      <w:r>
        <w:t>5.6 Evidence Integrity — Citation checkerは「ゲート」であって主役ではない</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721"/>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6"/>
              </w:rPr>
              <w:t>ゲート</w:t>
            </w:r>
          </w:p>
        </w:tc>
        <w:tc>
          <w:tcPr>
            <w:tcW w:type="dxa" w:w="3855"/>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6"/>
              </w:rPr>
              <w:t>目的</w:t>
            </w:r>
          </w:p>
        </w:tc>
        <w:tc>
          <w:tcPr>
            <w:tcW w:type="dxa" w:w="3061"/>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6"/>
              </w:rPr>
              <w:t>失敗時のAction</w:t>
            </w:r>
          </w:p>
        </w:tc>
      </w:tr>
      <w:tr>
        <w:trPr>
          <w:cantSplit/>
        </w:trPr>
        <w:tc>
          <w:tcPr>
            <w:tcW w:type="dxa" w:w="2721"/>
            <w:tcMar>
              <w:top w:w="80" w:type="dxa"/>
              <w:start w:w="90" w:type="dxa"/>
              <w:bottom w:w="80" w:type="dxa"/>
              <w:end w:w="90" w:type="dxa"/>
            </w:tcMar>
            <w:vAlign w:val="top"/>
          </w:tcPr>
          <w:p>
            <w:pPr>
              <w:spacing w:after="0" w:line="264" w:lineRule="auto"/>
            </w:pPr>
            <w:r>
              <w:rPr>
                <w:rFonts w:ascii="Noto Sans CJK JP" w:hAnsi="Noto Sans CJK JP" w:eastAsia="Noto Sans CJK JP"/>
                <w:sz w:val="16"/>
              </w:rPr>
              <w:t>Claim support / DeepTRACE</w:t>
            </w:r>
          </w:p>
        </w:tc>
        <w:tc>
          <w:tcPr>
            <w:tcW w:type="dxa" w:w="3855"/>
            <w:tcMar>
              <w:top w:w="80" w:type="dxa"/>
              <w:start w:w="90" w:type="dxa"/>
              <w:bottom w:w="80" w:type="dxa"/>
              <w:end w:w="90" w:type="dxa"/>
            </w:tcMar>
            <w:vAlign w:val="top"/>
          </w:tcPr>
          <w:p>
            <w:pPr>
              <w:spacing w:after="0" w:line="264" w:lineRule="auto"/>
            </w:pPr>
            <w:r>
              <w:rPr>
                <w:rFonts w:ascii="Noto Sans CJK JP" w:hAnsi="Noto Sans CJK JP" w:eastAsia="Noto Sans CJK JP"/>
                <w:sz w:val="16"/>
              </w:rPr>
              <w:t>引用がclaimを本当にsupportするか</w:t>
            </w:r>
          </w:p>
        </w:tc>
        <w:tc>
          <w:tcPr>
            <w:tcW w:type="dxa" w:w="3061"/>
            <w:tcMar>
              <w:top w:w="80" w:type="dxa"/>
              <w:start w:w="90" w:type="dxa"/>
              <w:bottom w:w="80" w:type="dxa"/>
              <w:end w:w="90" w:type="dxa"/>
            </w:tcMar>
            <w:vAlign w:val="top"/>
          </w:tcPr>
          <w:p>
            <w:pPr>
              <w:spacing w:after="0" w:line="264" w:lineRule="auto"/>
            </w:pPr>
            <w:r>
              <w:rPr>
                <w:rFonts w:ascii="Noto Sans CJK JP" w:hAnsi="Noto Sans CJK JP" w:eastAsia="Noto Sans CJK JP"/>
                <w:sz w:val="16"/>
              </w:rPr>
              <w:t>別source/原文を取り直す</w:t>
            </w:r>
          </w:p>
        </w:tc>
      </w:tr>
      <w:tr>
        <w:trPr>
          <w:cantSplit/>
        </w:trPr>
        <w:tc>
          <w:tcPr>
            <w:tcW w:type="dxa" w:w="272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Source independence / CAMA</w:t>
            </w:r>
          </w:p>
        </w:tc>
        <w:tc>
          <w:tcPr>
            <w:tcW w:type="dxa" w:w="3855"/>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5記事=5独立Evidenceという誤算を防ぐ</w:t>
            </w:r>
          </w:p>
        </w:tc>
        <w:tc>
          <w:tcPr>
            <w:tcW w:type="dxa" w:w="306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上流sourceを追跡し独立系統を探す</w:t>
            </w:r>
          </w:p>
        </w:tc>
      </w:tr>
      <w:tr>
        <w:trPr>
          <w:cantSplit/>
        </w:trPr>
        <w:tc>
          <w:tcPr>
            <w:tcW w:type="dxa" w:w="2721"/>
            <w:tcMar>
              <w:top w:w="80" w:type="dxa"/>
              <w:start w:w="90" w:type="dxa"/>
              <w:bottom w:w="80" w:type="dxa"/>
              <w:end w:w="90" w:type="dxa"/>
            </w:tcMar>
            <w:vAlign w:val="top"/>
          </w:tcPr>
          <w:p>
            <w:pPr>
              <w:spacing w:after="0" w:line="264" w:lineRule="auto"/>
            </w:pPr>
            <w:r>
              <w:rPr>
                <w:rFonts w:ascii="Noto Sans CJK JP" w:hAnsi="Noto Sans CJK JP" w:eastAsia="Noto Sans CJK JP"/>
                <w:sz w:val="16"/>
              </w:rPr>
              <w:t>Retrieval blind spot / ARGUS</w:t>
            </w:r>
          </w:p>
        </w:tc>
        <w:tc>
          <w:tcPr>
            <w:tcW w:type="dxa" w:w="3855"/>
            <w:tcMar>
              <w:top w:w="80" w:type="dxa"/>
              <w:start w:w="90" w:type="dxa"/>
              <w:bottom w:w="80" w:type="dxa"/>
              <w:end w:w="90" w:type="dxa"/>
            </w:tcMar>
            <w:vAlign w:val="top"/>
          </w:tcPr>
          <w:p>
            <w:pPr>
              <w:spacing w:after="0" w:line="264" w:lineRule="auto"/>
            </w:pPr>
            <w:r>
              <w:rPr>
                <w:rFonts w:ascii="Noto Sans CJK JP" w:hAnsi="Noto Sans CJK JP" w:eastAsia="Noto Sans CJK JP"/>
                <w:sz w:val="16"/>
              </w:rPr>
              <w:t>見つからない原因が検索器かを疑う</w:t>
            </w:r>
          </w:p>
        </w:tc>
        <w:tc>
          <w:tcPr>
            <w:tcW w:type="dxa" w:w="3061"/>
            <w:tcMar>
              <w:top w:w="80" w:type="dxa"/>
              <w:start w:w="90" w:type="dxa"/>
              <w:bottom w:w="80" w:type="dxa"/>
              <w:end w:w="90" w:type="dxa"/>
            </w:tcMar>
            <w:vAlign w:val="top"/>
          </w:tcPr>
          <w:p>
            <w:pPr>
              <w:spacing w:after="0" w:line="264" w:lineRule="auto"/>
            </w:pPr>
            <w:r>
              <w:rPr>
                <w:rFonts w:ascii="Noto Sans CJK JP" w:hAnsi="Noto Sans CJK JP" w:eastAsia="Noto Sans CJK JP"/>
                <w:sz w:val="16"/>
              </w:rPr>
              <w:t>query/channel/corpusを切替・probe</w:t>
            </w:r>
          </w:p>
        </w:tc>
      </w:tr>
      <w:tr>
        <w:trPr>
          <w:cantSplit/>
        </w:trPr>
        <w:tc>
          <w:tcPr>
            <w:tcW w:type="dxa" w:w="272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Negative closure / CROWN-QA</w:t>
            </w:r>
          </w:p>
        </w:tc>
        <w:tc>
          <w:tcPr>
            <w:tcW w:type="dxa" w:w="3855"/>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absenceをtruthに変換しない</w:t>
            </w:r>
          </w:p>
        </w:tc>
        <w:tc>
          <w:tcPr>
            <w:tcW w:type="dxa" w:w="306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Unknown維持またはcoverage certificateを要求</w:t>
            </w:r>
          </w:p>
        </w:tc>
      </w:tr>
      <w:tr>
        <w:trPr>
          <w:cantSplit/>
        </w:trPr>
        <w:tc>
          <w:tcPr>
            <w:tcW w:type="dxa" w:w="2721"/>
            <w:tcMar>
              <w:top w:w="80" w:type="dxa"/>
              <w:start w:w="90" w:type="dxa"/>
              <w:bottom w:w="80" w:type="dxa"/>
              <w:end w:w="90" w:type="dxa"/>
            </w:tcMar>
            <w:vAlign w:val="top"/>
          </w:tcPr>
          <w:p>
            <w:pPr>
              <w:spacing w:after="0" w:line="264" w:lineRule="auto"/>
            </w:pPr>
            <w:r>
              <w:rPr>
                <w:rFonts w:ascii="Noto Sans CJK JP" w:hAnsi="Noto Sans CJK JP" w:eastAsia="Noto Sans CJK JP"/>
                <w:sz w:val="16"/>
              </w:rPr>
              <w:t>Falsification / POPPER</w:t>
            </w:r>
          </w:p>
        </w:tc>
        <w:tc>
          <w:tcPr>
            <w:tcW w:type="dxa" w:w="3855"/>
            <w:tcMar>
              <w:top w:w="80" w:type="dxa"/>
              <w:start w:w="90" w:type="dxa"/>
              <w:bottom w:w="80" w:type="dxa"/>
              <w:end w:w="90" w:type="dxa"/>
            </w:tcMar>
            <w:vAlign w:val="top"/>
          </w:tcPr>
          <w:p>
            <w:pPr>
              <w:spacing w:after="0" w:line="264" w:lineRule="auto"/>
            </w:pPr>
            <w:r>
              <w:rPr>
                <w:rFonts w:ascii="Noto Sans CJK JP" w:hAnsi="Noto Sans CJK JP" w:eastAsia="Noto Sans CJK JP"/>
                <w:sz w:val="16"/>
              </w:rPr>
              <w:t>重要仮説を支持Evidenceだけで固めない</w:t>
            </w:r>
          </w:p>
        </w:tc>
        <w:tc>
          <w:tcPr>
            <w:tcW w:type="dxa" w:w="3061"/>
            <w:tcMar>
              <w:top w:w="80" w:type="dxa"/>
              <w:start w:w="90" w:type="dxa"/>
              <w:bottom w:w="80" w:type="dxa"/>
              <w:end w:w="90" w:type="dxa"/>
            </w:tcMar>
            <w:vAlign w:val="top"/>
          </w:tcPr>
          <w:p>
            <w:pPr>
              <w:spacing w:after="0" w:line="264" w:lineRule="auto"/>
            </w:pPr>
            <w:r>
              <w:rPr>
                <w:rFonts w:ascii="Noto Sans CJK JP" w:hAnsi="Noto Sans CJK JP" w:eastAsia="Noto Sans CJK JP"/>
                <w:sz w:val="16"/>
              </w:rPr>
              <w:t>observable implicationを作り反証テスト</w:t>
            </w:r>
          </w:p>
        </w:tc>
      </w:tr>
    </w:tbl>
    <w:p>
      <w:pPr>
        <w:spacing w:after="40"/>
      </w:pPr>
    </w:p>
    <w:p>
      <w:pPr>
        <w:pStyle w:val="Heading2"/>
      </w:pPr>
      <w:r>
        <w:t>5.7 Stop Rule — 「十分調べた」をレポートの長さで決めない</w:t>
      </w:r>
    </w:p>
    <w:p>
      <w:pPr>
        <w:keepNext w:val="0"/>
        <w:spacing w:after="80" w:line="288" w:lineRule="auto"/>
      </w:pPr>
      <w:r>
        <w:rPr>
          <w:rFonts w:ascii="Noto Sans CJK JP" w:hAnsi="Noto Sans CJK JP" w:eastAsia="Noto Sans CJK JP"/>
        </w:rPr>
        <w:t>Prismは以下の全条件を満たしたときだけ停止する。</w:t>
      </w:r>
    </w:p>
    <w:p>
      <w:pPr>
        <w:spacing w:after="40" w:line="276" w:lineRule="auto"/>
        <w:ind w:left="397" w:hanging="397"/>
      </w:pPr>
      <w:r>
        <w:rPr>
          <w:rFonts w:ascii="Noto Sans CJK JP" w:hAnsi="Noto Sans CJK JP" w:eastAsia="Noto Sans CJK JP"/>
          <w:b/>
        </w:rPr>
        <w:t xml:space="preserve">1.  </w:t>
      </w:r>
      <w:r>
        <w:rPr>
          <w:rFonts w:ascii="Noto Sans CJK JP" w:hAnsi="Noto Sans CJK JP" w:eastAsia="Noto Sans CJK JP"/>
        </w:rPr>
        <w:t>最大の候補Research ActionのNetResearchValueがゼロ以下（または組織が設定した最小閾値以下）。</w:t>
      </w:r>
    </w:p>
    <w:p>
      <w:pPr>
        <w:spacing w:after="40" w:line="276" w:lineRule="auto"/>
        <w:ind w:left="397" w:hanging="397"/>
      </w:pPr>
      <w:r>
        <w:rPr>
          <w:rFonts w:ascii="Noto Sans CJK JP" w:hAnsi="Noto Sans CJK JP" w:eastAsia="Noto Sans CJK JP"/>
          <w:b/>
        </w:rPr>
        <w:t xml:space="preserve">2.  </w:t>
      </w:r>
      <w:r>
        <w:rPr>
          <w:rFonts w:ascii="Noto Sans CJK JP" w:hAnsi="Noto Sans CJK JP" w:eastAsia="Noto Sans CJK JP"/>
        </w:rPr>
        <w:t>主要な投資判断が、残存不確実性の妥当な摂動に対して安定している。</w:t>
      </w:r>
    </w:p>
    <w:p>
      <w:pPr>
        <w:spacing w:after="40" w:line="276" w:lineRule="auto"/>
        <w:ind w:left="397" w:hanging="397"/>
      </w:pPr>
      <w:r>
        <w:rPr>
          <w:rFonts w:ascii="Noto Sans CJK JP" w:hAnsi="Noto Sans CJK JP" w:eastAsia="Noto Sans CJK JP"/>
          <w:b/>
        </w:rPr>
        <w:t xml:space="preserve">3.  </w:t>
      </w:r>
      <w:r>
        <w:rPr>
          <w:rFonts w:ascii="Noto Sans CJK JP" w:hAnsi="Noto Sans CJK JP" w:eastAsia="Noto Sans CJK JP"/>
        </w:rPr>
        <w:t>Decision-criticalなUnknownが解消された、または「未解消のため条件付き判断/価格調整/追加DD」として明示的に処理された。</w:t>
      </w:r>
    </w:p>
    <w:p>
      <w:pPr>
        <w:spacing w:after="40" w:line="276" w:lineRule="auto"/>
        <w:ind w:left="397" w:hanging="397"/>
      </w:pPr>
      <w:r>
        <w:rPr>
          <w:rFonts w:ascii="Noto Sans CJK JP" w:hAnsi="Noto Sans CJK JP" w:eastAsia="Noto Sans CJK JP"/>
          <w:b/>
        </w:rPr>
        <w:t xml:space="preserve">4.  </w:t>
      </w:r>
      <w:r>
        <w:rPr>
          <w:rFonts w:ascii="Noto Sans CJK JP" w:hAnsi="Noto Sans CJK JP" w:eastAsia="Noto Sans CJK JP"/>
        </w:rPr>
        <w:t>Model Challenge Gateを通過し、重要なmissing comparator / outside-view delta / disconfirming laneが未処理でない。</w:t>
      </w:r>
    </w:p>
    <w:p>
      <w:pPr>
        <w:spacing w:after="40" w:line="276" w:lineRule="auto"/>
        <w:ind w:left="397" w:hanging="397"/>
      </w:pPr>
      <w:r>
        <w:rPr>
          <w:rFonts w:ascii="Noto Sans CJK JP" w:hAnsi="Noto Sans CJK JP" w:eastAsia="Noto Sans CJK JP"/>
          <w:b/>
        </w:rPr>
        <w:t xml:space="preserve">5.  </w:t>
      </w:r>
      <w:r>
        <w:rPr>
          <w:rFonts w:ascii="Noto Sans CJK JP" w:hAnsi="Noto Sans CJK JP" w:eastAsia="Noto Sans CJK JP"/>
        </w:rPr>
        <w:t>結果を変え得るEvidenceが何か（What would change our mind）が明記されている。</w:t>
      </w:r>
    </w:p>
    <w:tbl>
      <w:tblPr>
        <w:tblW w:type="auto" w:w="0"/>
        <w:jc w:val="center"/>
        <w:tblLayout w:type="autofit"/>
        <w:tblLook w:firstColumn="1" w:firstRow="1" w:lastColumn="0" w:lastRow="0" w:noHBand="0" w:noVBand="1" w:val="04A0"/>
      </w:tblPr>
      <w:tblGrid>
        <w:gridCol w:w="9866"/>
      </w:tblGrid>
      <w:tr>
        <w:trPr>
          <w:cantSplit/>
          <w:tblHeader/>
        </w:trPr>
        <w:tc>
          <w:tcPr>
            <w:tcW w:type="dxa" w:w="9866"/>
            <w:tcMar>
              <w:top w:w="120" w:type="dxa"/>
              <w:start w:w="160" w:type="dxa"/>
              <w:bottom w:w="120" w:type="dxa"/>
              <w:end w:w="160" w:type="dxa"/>
            </w:tcMar>
            <w:shd w:fill="EAF2F8"/>
          </w:tcPr>
          <w:p>
            <w:pPr>
              <w:spacing w:after="0" w:line="276" w:lineRule="auto"/>
            </w:pPr>
            <w:r>
              <w:rPr>
                <w:rFonts w:ascii="Noto Sans CJK JP" w:hAnsi="Noto Sans CJK JP" w:eastAsia="Noto Sans CJK JP"/>
                <w:b/>
                <w:color w:val="1F3751"/>
                <w:sz w:val="21"/>
              </w:rPr>
              <w:t>ここがDeep Researchとの重要差</w:t>
              <w:br/>
            </w:r>
            <w:r>
              <w:rPr>
                <w:rFonts w:ascii="Noto Sans CJK JP" w:hAnsi="Noto Sans CJK JP" w:eastAsia="Noto Sans CJK JP"/>
                <w:sz w:val="19"/>
              </w:rPr>
              <w:t>「情報がたくさん集まった」ではなく、「これ以上のResearchが投資判断を改善する期待価値を持たない」または「必要情報は外部から取得不能でUnknownとして残す」とき止める。</w:t>
            </w:r>
          </w:p>
        </w:tc>
      </w:tr>
    </w:tbl>
    <w:p>
      <w:pPr>
        <w:spacing w:after="20"/>
      </w:pPr>
    </w:p>
    <w:p>
      <w:pPr>
        <w:pStyle w:val="Heading2"/>
      </w:pPr>
      <w:r>
        <w:t>5.8 Outcome Calibration — ここが長期Moatになる</w:t>
      </w:r>
    </w:p>
    <w:p>
      <w:pPr>
        <w:keepNext w:val="0"/>
        <w:spacing w:after="80" w:line="288" w:lineRule="auto"/>
      </w:pPr>
      <w:r>
        <w:rPr>
          <w:rFonts w:ascii="Noto Sans CJK JP" w:hAnsi="Noto Sans CJK JP" w:eastAsia="Noto Sans CJK JP"/>
        </w:rPr>
        <w:t>案件終了後、Research品質そのものではなく「どのSource/Worker/Research Actionが、どの種類のClaimで実際に当たったか」を校正する。</w:t>
      </w:r>
    </w:p>
    <w:p>
      <w:pPr>
        <w:pStyle w:val="ListBullet"/>
        <w:spacing w:after="40" w:line="276" w:lineRule="auto"/>
      </w:pPr>
      <w:r>
        <w:rPr>
          <w:rFonts w:ascii="Noto Sans CJK JP" w:hAnsi="Noto Sans CJK JP" w:eastAsia="Noto Sans CJK JP"/>
        </w:rPr>
        <w:t>Worker × task-type reliability：例「市場規模」「競争」「規制」「技術DD」ごとの精度/有用性。</w:t>
      </w:r>
    </w:p>
    <w:p>
      <w:pPr>
        <w:pStyle w:val="ListBullet"/>
        <w:spacing w:after="40" w:line="276" w:lineRule="auto"/>
      </w:pPr>
      <w:r>
        <w:rPr>
          <w:rFonts w:ascii="Noto Sans CJK JP" w:hAnsi="Noto Sans CJK JP" w:eastAsia="Noto Sans CJK JP"/>
        </w:rPr>
        <w:t>Source/channel retrievability：どの情報がWeb/premium/VDR/expertで実際に解決できたか。</w:t>
      </w:r>
    </w:p>
    <w:p>
      <w:pPr>
        <w:pStyle w:val="ListBullet"/>
        <w:spacing w:after="40" w:line="276" w:lineRule="auto"/>
      </w:pPr>
      <w:r>
        <w:rPr>
          <w:rFonts w:ascii="Noto Sans CJK JP" w:hAnsi="Noto Sans CJK JP" w:eastAsia="Noto Sans CJK JP"/>
        </w:rPr>
        <w:t>Firm-specific priors：自社の過去案件、見送り案件、ポートフォリオ実績からreference classを作る。</w:t>
      </w:r>
    </w:p>
    <w:p>
      <w:pPr>
        <w:pStyle w:val="ListBullet"/>
        <w:spacing w:after="40" w:line="276" w:lineRule="auto"/>
      </w:pPr>
      <w:r>
        <w:rPr>
          <w:rFonts w:ascii="Noto Sans CJK JP" w:hAnsi="Noto Sans CJK JP" w:eastAsia="Noto Sans CJK JP"/>
        </w:rPr>
        <w:t>Research Action payoff：実際にIC判断・価格・条件・追加DDを変えたactionは何か。</w:t>
      </w:r>
    </w:p>
    <w:p>
      <w:pPr>
        <w:pStyle w:val="ListBullet"/>
        <w:spacing w:after="40" w:line="276" w:lineRule="auto"/>
      </w:pPr>
      <w:r>
        <w:rPr>
          <w:rFonts w:ascii="Noto Sans CJK JP" w:hAnsi="Noto Sans CJK JP" w:eastAsia="Noto Sans CJK JP"/>
        </w:rPr>
        <w:t>Calibration：confidenceと実現結果のズレをBrier score等で追跡し、過信するWorker/論点を補正する。</w:t>
      </w:r>
    </w:p>
    <w:p>
      <w:pPr>
        <w:keepNext w:val="0"/>
        <w:spacing w:after="80" w:line="288" w:lineRule="auto"/>
      </w:pPr>
      <w:r>
        <w:rPr>
          <w:rFonts w:ascii="Noto Sans CJK JP" w:hAnsi="Noto Sans CJK JP" w:eastAsia="Noto Sans CJK JP"/>
          <w:color w:val="5A646E"/>
          <w:sz w:val="17"/>
        </w:rPr>
        <w:t>一般的なContext/Memorization機能は金融AIにも存在する。Prismの狙いは「過去資料を検索できる」ではなく、「Research actionの予測価値とsource/worker reliabilityを結果で校正し、次案件のallocation policyへ戻す」こと。公開資料を確認した範囲では、このdecision-theoreticな閉ループを主要製品が明示的に提供していることは確認できなかった。ただし非公開機能は評価不能。</w:t>
      </w:r>
    </w:p>
    <w:p>
      <w:pPr>
        <w:pStyle w:val="Heading1"/>
      </w:pPr>
      <w:r>
        <w:t>6. 実行フロー（Dual Loop）</w:t>
      </w:r>
    </w:p>
    <w:p>
      <w:pPr>
        <w:jc w:val="center"/>
      </w:pPr>
      <w:r>
        <w:drawing>
          <wp:inline xmlns:a="http://schemas.openxmlformats.org/drawingml/2006/main" xmlns:pic="http://schemas.openxmlformats.org/drawingml/2006/picture">
            <wp:extent cx="6120000" cy="4434783"/>
            <wp:docPr id="3" name="Picture 3" descr="Image: image3.png"/>
            <wp:cNvGraphicFramePr>
              <a:graphicFrameLocks noChangeAspect="1"/>
            </wp:cNvGraphicFramePr>
            <a:graphic>
              <a:graphicData uri="http://schemas.openxmlformats.org/drawingml/2006/picture">
                <pic:pic>
                  <pic:nvPicPr>
                    <pic:cNvPr id="0" name="prism_dual_loop.png"/>
                    <pic:cNvPicPr/>
                  </pic:nvPicPr>
                  <pic:blipFill>
                    <a:blip r:embed="rId13"/>
                    <a:stretch>
                      <a:fillRect/>
                    </a:stretch>
                  </pic:blipFill>
                  <pic:spPr>
                    <a:xfrm>
                      <a:off x="0" y="0"/>
                      <a:ext cx="6120000" cy="4434783"/>
                    </a:xfrm>
                    <a:prstGeom prst="rect"/>
                  </pic:spPr>
                </pic:pic>
              </a:graphicData>
            </a:graphic>
          </wp:inline>
        </w:drawing>
      </w:r>
    </w:p>
    <w:p>
      <w:pPr>
        <w:keepNext w:val="0"/>
        <w:spacing w:after="80" w:line="288" w:lineRule="auto"/>
      </w:pPr>
      <w:r>
        <w:rPr>
          <w:rFonts w:ascii="Noto Sans CJK JP" w:hAnsi="Noto Sans CJK JP" w:eastAsia="Noto Sans CJK JP"/>
        </w:rPr>
        <w:t>Prismの完全体は、INNER loopだけでは不十分である。INNER loopは既存モデル内の不確実性を効率よく潰す。一方OUTER loopは、「そもそも重要論点を落としている」構造的不確実性を定期的に壊す。両方が揃って初めて“精密に間違える”リスクを下げられる。</w:t>
      </w:r>
    </w:p>
    <w:p>
      <w:r>
        <w:br w:type="page"/>
      </w:r>
    </w:p>
    <w:p>
      <w:pPr>
        <w:pStyle w:val="Heading1"/>
      </w:pPr>
      <w:r>
        <w:t>7. 実装仕様：AIに実装させても設計が崩れない最小状態機械</w:t>
      </w:r>
    </w:p>
    <w:p>
      <w:pPr>
        <w:keepNext w:val="0"/>
        <w:spacing w:after="80" w:line="288" w:lineRule="auto"/>
      </w:pPr>
      <w:r>
        <w:rPr>
          <w:rFonts w:ascii="Noto Sans CJK JP" w:hAnsi="Noto Sans CJK JP" w:eastAsia="Noto Sans CJK JP"/>
        </w:rPr>
        <w:t>推奨状態 Sₜ：</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381"/>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6"/>
              </w:rPr>
              <w:t>オブジェクト</w:t>
            </w:r>
          </w:p>
        </w:tc>
        <w:tc>
          <w:tcPr>
            <w:tcW w:type="dxa" w:w="7257"/>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6"/>
              </w:rPr>
              <w:t>最低限のフィールド</w:t>
            </w:r>
          </w:p>
        </w:tc>
      </w:tr>
      <w:tr>
        <w:trPr>
          <w:cantSplit/>
        </w:trPr>
        <w:tc>
          <w:tcPr>
            <w:tcW w:type="dxa" w:w="2381"/>
            <w:tcMar>
              <w:top w:w="80" w:type="dxa"/>
              <w:start w:w="90" w:type="dxa"/>
              <w:bottom w:w="80" w:type="dxa"/>
              <w:end w:w="90" w:type="dxa"/>
            </w:tcMar>
            <w:vAlign w:val="top"/>
          </w:tcPr>
          <w:p>
            <w:pPr>
              <w:spacing w:after="0" w:line="264" w:lineRule="auto"/>
            </w:pPr>
            <w:r>
              <w:rPr>
                <w:rFonts w:ascii="Noto Sans CJK JP" w:hAnsi="Noto Sans CJK JP" w:eastAsia="Noto Sans CJK JP"/>
                <w:sz w:val="16"/>
              </w:rPr>
              <w:t>DecisionCase</w:t>
            </w:r>
          </w:p>
        </w:tc>
        <w:tc>
          <w:tcPr>
            <w:tcW w:type="dxa" w:w="7257"/>
            <w:tcMar>
              <w:top w:w="80" w:type="dxa"/>
              <w:start w:w="90" w:type="dxa"/>
              <w:bottom w:w="80" w:type="dxa"/>
              <w:end w:w="90" w:type="dxa"/>
            </w:tcMar>
            <w:vAlign w:val="top"/>
          </w:tcPr>
          <w:p>
            <w:pPr>
              <w:spacing w:after="0" w:line="264" w:lineRule="auto"/>
            </w:pPr>
            <w:r>
              <w:rPr>
                <w:rFonts w:ascii="Noto Sans CJK JP" w:hAnsi="Noto Sans CJK JP" w:eastAsia="Noto Sans CJK JP"/>
                <w:sz w:val="16"/>
              </w:rPr>
              <w:t>alternatives, utility/threshold, model refs, deadline, budget</w:t>
            </w:r>
          </w:p>
        </w:tc>
      </w:tr>
      <w:tr>
        <w:trPr>
          <w:cantSplit/>
        </w:trPr>
        <w:tc>
          <w:tcPr>
            <w:tcW w:type="dxa" w:w="238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Assumption</w:t>
            </w:r>
          </w:p>
        </w:tc>
        <w:tc>
          <w:tcPr>
            <w:tcW w:type="dxa" w:w="7257"/>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claim, range/distribution, decision sensitivity, owner, status</w:t>
            </w:r>
          </w:p>
        </w:tc>
      </w:tr>
      <w:tr>
        <w:trPr>
          <w:cantSplit/>
        </w:trPr>
        <w:tc>
          <w:tcPr>
            <w:tcW w:type="dxa" w:w="2381"/>
            <w:tcMar>
              <w:top w:w="80" w:type="dxa"/>
              <w:start w:w="90" w:type="dxa"/>
              <w:bottom w:w="80" w:type="dxa"/>
              <w:end w:w="90" w:type="dxa"/>
            </w:tcMar>
            <w:vAlign w:val="top"/>
          </w:tcPr>
          <w:p>
            <w:pPr>
              <w:spacing w:after="0" w:line="264" w:lineRule="auto"/>
            </w:pPr>
            <w:r>
              <w:rPr>
                <w:rFonts w:ascii="Noto Sans CJK JP" w:hAnsi="Noto Sans CJK JP" w:eastAsia="Noto Sans CJK JP"/>
                <w:sz w:val="16"/>
              </w:rPr>
              <w:t>Evidence</w:t>
            </w:r>
          </w:p>
        </w:tc>
        <w:tc>
          <w:tcPr>
            <w:tcW w:type="dxa" w:w="7257"/>
            <w:tcMar>
              <w:top w:w="80" w:type="dxa"/>
              <w:start w:w="90" w:type="dxa"/>
              <w:bottom w:w="80" w:type="dxa"/>
              <w:end w:w="90" w:type="dxa"/>
            </w:tcMar>
            <w:vAlign w:val="top"/>
          </w:tcPr>
          <w:p>
            <w:pPr>
              <w:spacing w:after="0" w:line="264" w:lineRule="auto"/>
            </w:pPr>
            <w:r>
              <w:rPr>
                <w:rFonts w:ascii="Noto Sans CJK JP" w:hAnsi="Noto Sans CJK JP" w:eastAsia="Noto Sans CJK JP"/>
                <w:sz w:val="16"/>
              </w:rPr>
              <w:t>snippet/value, source, timestamp, supports/refutes, extraction confidence</w:t>
            </w:r>
          </w:p>
        </w:tc>
      </w:tr>
      <w:tr>
        <w:trPr>
          <w:cantSplit/>
        </w:trPr>
        <w:tc>
          <w:tcPr>
            <w:tcW w:type="dxa" w:w="238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Source</w:t>
            </w:r>
          </w:p>
        </w:tc>
        <w:tc>
          <w:tcPr>
            <w:tcW w:type="dxa" w:w="7257"/>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origin, upstream provenance, type, access mode, historical reliability</w:t>
            </w:r>
          </w:p>
        </w:tc>
      </w:tr>
      <w:tr>
        <w:trPr>
          <w:cantSplit/>
        </w:trPr>
        <w:tc>
          <w:tcPr>
            <w:tcW w:type="dxa" w:w="2381"/>
            <w:tcMar>
              <w:top w:w="80" w:type="dxa"/>
              <w:start w:w="90" w:type="dxa"/>
              <w:bottom w:w="80" w:type="dxa"/>
              <w:end w:w="90" w:type="dxa"/>
            </w:tcMar>
            <w:vAlign w:val="top"/>
          </w:tcPr>
          <w:p>
            <w:pPr>
              <w:spacing w:after="0" w:line="264" w:lineRule="auto"/>
            </w:pPr>
            <w:r>
              <w:rPr>
                <w:rFonts w:ascii="Noto Sans CJK JP" w:hAnsi="Noto Sans CJK JP" w:eastAsia="Noto Sans CJK JP"/>
                <w:sz w:val="16"/>
              </w:rPr>
              <w:t>ResearchAction</w:t>
            </w:r>
          </w:p>
        </w:tc>
        <w:tc>
          <w:tcPr>
            <w:tcW w:type="dxa" w:w="7257"/>
            <w:tcMar>
              <w:top w:w="80" w:type="dxa"/>
              <w:start w:w="90" w:type="dxa"/>
              <w:bottom w:w="80" w:type="dxa"/>
              <w:end w:w="90" w:type="dxa"/>
            </w:tcMar>
            <w:vAlign w:val="top"/>
          </w:tcPr>
          <w:p>
            <w:pPr>
              <w:spacing w:after="0" w:line="264" w:lineRule="auto"/>
            </w:pPr>
            <w:r>
              <w:rPr>
                <w:rFonts w:ascii="Noto Sans CJK JP" w:hAnsi="Noto Sans CJK JP" w:eastAsia="Noto Sans CJK JP"/>
                <w:sz w:val="16"/>
              </w:rPr>
              <w:t>question, modality, worker, expected outcomes, cost/time, target assumption</w:t>
            </w:r>
          </w:p>
        </w:tc>
      </w:tr>
      <w:tr>
        <w:trPr>
          <w:cantSplit/>
        </w:trPr>
        <w:tc>
          <w:tcPr>
            <w:tcW w:type="dxa" w:w="238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WorkerProfile</w:t>
            </w:r>
          </w:p>
        </w:tc>
        <w:tc>
          <w:tcPr>
            <w:tcW w:type="dxa" w:w="7257"/>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task-type performance, source access, latency/cost, calibration</w:t>
            </w:r>
          </w:p>
        </w:tc>
      </w:tr>
      <w:tr>
        <w:trPr>
          <w:cantSplit/>
        </w:trPr>
        <w:tc>
          <w:tcPr>
            <w:tcW w:type="dxa" w:w="2381"/>
            <w:tcMar>
              <w:top w:w="80" w:type="dxa"/>
              <w:start w:w="90" w:type="dxa"/>
              <w:bottom w:w="80" w:type="dxa"/>
              <w:end w:w="90" w:type="dxa"/>
            </w:tcMar>
            <w:vAlign w:val="top"/>
          </w:tcPr>
          <w:p>
            <w:pPr>
              <w:spacing w:after="0" w:line="264" w:lineRule="auto"/>
            </w:pPr>
            <w:r>
              <w:rPr>
                <w:rFonts w:ascii="Noto Sans CJK JP" w:hAnsi="Noto Sans CJK JP" w:eastAsia="Noto Sans CJK JP"/>
                <w:sz w:val="16"/>
              </w:rPr>
              <w:t>Observation</w:t>
            </w:r>
          </w:p>
        </w:tc>
        <w:tc>
          <w:tcPr>
            <w:tcW w:type="dxa" w:w="7257"/>
            <w:tcMar>
              <w:top w:w="80" w:type="dxa"/>
              <w:start w:w="90" w:type="dxa"/>
              <w:bottom w:w="80" w:type="dxa"/>
              <w:end w:w="90" w:type="dxa"/>
            </w:tcMar>
            <w:vAlign w:val="top"/>
          </w:tcPr>
          <w:p>
            <w:pPr>
              <w:spacing w:after="0" w:line="264" w:lineRule="auto"/>
            </w:pPr>
            <w:r>
              <w:rPr>
                <w:rFonts w:ascii="Noto Sans CJK JP" w:hAnsi="Noto Sans CJK JP" w:eastAsia="Noto Sans CJK JP"/>
                <w:sz w:val="16"/>
              </w:rPr>
              <w:t>action result, evidence links, surprise/residual score</w:t>
            </w:r>
          </w:p>
        </w:tc>
      </w:tr>
      <w:tr>
        <w:trPr>
          <w:cantSplit/>
        </w:trPr>
        <w:tc>
          <w:tcPr>
            <w:tcW w:type="dxa" w:w="238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DecisionSnapshot</w:t>
            </w:r>
          </w:p>
        </w:tc>
        <w:tc>
          <w:tcPr>
            <w:tcW w:type="dxa" w:w="7257"/>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recommendation, value/IRR/MOIC range, confidence, unresolved unknowns</w:t>
            </w:r>
          </w:p>
        </w:tc>
      </w:tr>
    </w:tbl>
    <w:p>
      <w:pPr>
        <w:spacing w:after="40"/>
      </w:pPr>
    </w:p>
    <w:p>
      <w:pPr>
        <w:keepNext w:val="0"/>
        <w:spacing w:after="80" w:line="288" w:lineRule="auto"/>
      </w:pPr>
      <w:r>
        <w:rPr>
          <w:rFonts w:ascii="Noto Sans CJK JP" w:hAnsi="Noto Sans CJK JP" w:eastAsia="Noto Sans CJK JP"/>
          <w:b/>
        </w:rPr>
        <w:t>制御アルゴリズム（擬似コード）：</w:t>
      </w:r>
      <w:r>
        <w:rPr>
          <w:rFonts w:ascii="Noto Sans CJK JP" w:hAnsi="Noto Sans CJK JP" w:eastAsia="Noto Sans CJK JP"/>
        </w:rPr>
      </w:r>
    </w:p>
    <w:tbl>
      <w:tblPr>
        <w:tblStyle w:val="TableGrid"/>
        <w:tblW w:type="auto" w:w="0"/>
        <w:tblLook w:firstColumn="1" w:firstRow="1" w:lastColumn="0" w:lastRow="0" w:noHBand="0" w:noVBand="1" w:val="04A0"/>
      </w:tblPr>
      <w:tblGrid>
        <w:gridCol w:w="9866"/>
      </w:tblGrid>
      <w:tr>
        <w:tc>
          <w:tcPr>
            <w:tcW w:type="dxa" w:w="9866"/>
            <w:shd w:fill="F5F6F7"/>
            <w:tcMar>
              <w:top w:w="130" w:type="dxa"/>
              <w:start w:w="150" w:type="dxa"/>
              <w:bottom w:w="130" w:type="dxa"/>
              <w:end w:w="150" w:type="dxa"/>
            </w:tcMar>
          </w:tcPr>
          <w:p>
            <w:r>
              <w:rPr>
                <w:rFonts w:ascii="Noto Sans Mono CJK JP" w:hAnsi="Noto Sans Mono CJK JP" w:eastAsia="Noto Sans Mono CJK JP"/>
                <w:color w:val="282D32"/>
                <w:sz w:val="17"/>
              </w:rPr>
              <w:t>1. compile_decision(case) -&gt; D, Θ, utility, thresholds</w:t>
              <w:br/>
            </w:r>
            <w:r>
              <w:rPr>
                <w:rFonts w:ascii="Noto Sans Mono CJK JP" w:hAnsi="Noto Sans Mono CJK JP" w:eastAsia="Noto Sans Mono CJK JP"/>
                <w:color w:val="282D32"/>
                <w:sz w:val="17"/>
              </w:rPr>
              <w:t>2. run_model_challenge_independently() -&gt; missing variables / comparators / falsifiers</w:t>
              <w:br/>
            </w:r>
            <w:r>
              <w:rPr>
                <w:rFonts w:ascii="Noto Sans Mono CJK JP" w:hAnsi="Noto Sans Mono CJK JP" w:eastAsia="Noto Sans Mono CJK JP"/>
                <w:color w:val="282D32"/>
                <w:sz w:val="17"/>
              </w:rPr>
              <w:t>3. merge_material_new_items_into_epistemic_ledger()</w:t>
              <w:br/>
            </w:r>
            <w:r>
              <w:rPr>
                <w:rFonts w:ascii="Noto Sans Mono CJK JP" w:hAnsi="Noto Sans Mono CJK JP" w:eastAsia="Noto Sans Mono CJK JP"/>
                <w:color w:val="282D32"/>
                <w:sz w:val="17"/>
              </w:rPr>
              <w:t>4. generate_candidate_research_actions() across web, premium, VDR, expert, management, compute</w:t>
              <w:br/>
            </w:r>
            <w:r>
              <w:rPr>
                <w:rFonts w:ascii="Noto Sans Mono CJK JP" w:hAnsi="Noto Sans Mono CJK JP" w:eastAsia="Noto Sans Mono CJK JP"/>
                <w:color w:val="282D32"/>
                <w:sz w:val="17"/>
              </w:rPr>
              <w:t>5. for each action a: estimate DecisionValue(a), Retrievability(a), Independence(a), Cost(a)</w:t>
              <w:br/>
            </w:r>
            <w:r>
              <w:rPr>
                <w:rFonts w:ascii="Noto Sans Mono CJK JP" w:hAnsi="Noto Sans Mono CJK JP" w:eastAsia="Noto Sans Mono CJK JP"/>
                <w:color w:val="282D32"/>
                <w:sz w:val="17"/>
              </w:rPr>
              <w:t>6. execute argmax(NetResearchValue(a)) using the best available worker/tool</w:t>
              <w:br/>
            </w:r>
            <w:r>
              <w:rPr>
                <w:rFonts w:ascii="Noto Sans Mono CJK JP" w:hAnsi="Noto Sans Mono CJK JP" w:eastAsia="Noto Sans Mono CJK JP"/>
                <w:color w:val="282D32"/>
                <w:sz w:val="17"/>
              </w:rPr>
              <w:t>7. audit evidence integrity; update ledger; recompute LBO/decision</w:t>
              <w:br/>
            </w:r>
            <w:r>
              <w:rPr>
                <w:rFonts w:ascii="Noto Sans Mono CJK JP" w:hAnsi="Noto Sans Mono CJK JP" w:eastAsia="Noto Sans Mono CJK JP"/>
                <w:color w:val="282D32"/>
                <w:sz w:val="17"/>
              </w:rPr>
              <w:t>8. if surprise/model-residual is material -&gt; go to step 2</w:t>
              <w:br/>
            </w:r>
            <w:r>
              <w:rPr>
                <w:rFonts w:ascii="Noto Sans Mono CJK JP" w:hAnsi="Noto Sans Mono CJK JP" w:eastAsia="Noto Sans Mono CJK JP"/>
                <w:color w:val="282D32"/>
                <w:sz w:val="17"/>
              </w:rPr>
              <w:t>9. if stop rule satisfied -&gt; output Decision Evidence Pack</w:t>
              <w:br/>
            </w:r>
            <w:r>
              <w:rPr>
                <w:rFonts w:ascii="Noto Sans Mono CJK JP" w:hAnsi="Noto Sans Mono CJK JP" w:eastAsia="Noto Sans Mono CJK JP"/>
                <w:color w:val="282D32"/>
                <w:sz w:val="17"/>
              </w:rPr>
              <w:t>10. after outcome -&gt; calibrate worker/source/action priors for future cases</w:t>
            </w:r>
          </w:p>
        </w:tc>
        <w:trPr>
          <w:tblHeader/>
        </w:trPr>
      </w:tr>
    </w:tbl>
    <w:p>
      <w:pPr>
        <w:pStyle w:val="Heading1"/>
      </w:pPr>
      <w:r>
        <w:t>8. 具体例：800億円の買収案件でPrismは何をするか</w:t>
      </w:r>
    </w:p>
    <w:p>
      <w:pPr>
        <w:keepNext w:val="0"/>
        <w:spacing w:after="80" w:line="288" w:lineRule="auto"/>
      </w:pPr>
      <w:r>
        <w:rPr>
          <w:rFonts w:ascii="Noto Sans CJK JP" w:hAnsi="Noto Sans CJK JP" w:eastAsia="Noto Sans CJK JP"/>
        </w:rPr>
        <w:t>例は説明用。数値は架空。</w:t>
      </w:r>
    </w:p>
    <w:p>
      <w:pPr>
        <w:spacing w:after="40" w:line="276" w:lineRule="auto"/>
        <w:ind w:left="397" w:hanging="397"/>
      </w:pPr>
      <w:r>
        <w:rPr>
          <w:rFonts w:ascii="Noto Sans CJK JP" w:hAnsi="Noto Sans CJK JP" w:eastAsia="Noto Sans CJK JP"/>
          <w:b/>
        </w:rPr>
        <w:t xml:space="preserve">1.  </w:t>
      </w:r>
      <w:r>
        <w:rPr>
          <w:rFonts w:ascii="Noto Sans CJK JP" w:hAnsi="Noto Sans CJK JP" w:eastAsia="Noto Sans CJK JP"/>
        </w:rPr>
        <w:t>Decision Compiler：800億円で投資する/見送る/価格条件を変える。IC hurdle IRR 25%。</w:t>
      </w:r>
    </w:p>
    <w:p>
      <w:pPr>
        <w:spacing w:after="40" w:line="276" w:lineRule="auto"/>
        <w:ind w:left="397" w:hanging="397"/>
      </w:pPr>
      <w:r>
        <w:rPr>
          <w:rFonts w:ascii="Noto Sans CJK JP" w:hAnsi="Noto Sans CJK JP" w:eastAsia="Noto Sans CJK JP"/>
          <w:b/>
        </w:rPr>
        <w:t xml:space="preserve">2.  </w:t>
      </w:r>
      <w:r>
        <w:rPr>
          <w:rFonts w:ascii="Noto Sans CJK JP" w:hAnsi="Noto Sans CJK JP" w:eastAsia="Noto Sans CJK JP"/>
        </w:rPr>
        <w:t>初回Worker：Deep Research/Marlin/Premium sourceで市場・競合・顧客・AI影響を広く収集。</w:t>
      </w:r>
    </w:p>
    <w:p>
      <w:pPr>
        <w:spacing w:after="40" w:line="276" w:lineRule="auto"/>
        <w:ind w:left="397" w:hanging="397"/>
      </w:pPr>
      <w:r>
        <w:rPr>
          <w:rFonts w:ascii="Noto Sans CJK JP" w:hAnsi="Noto Sans CJK JP" w:eastAsia="Noto Sans CJK JP"/>
          <w:b/>
        </w:rPr>
        <w:t xml:space="preserve">3.  </w:t>
      </w:r>
      <w:r>
        <w:rPr>
          <w:rFonts w:ascii="Noto Sans CJK JP" w:hAnsi="Noto Sans CJK JP" w:eastAsia="Noto Sans CJK JP"/>
        </w:rPr>
        <w:t>OUTER challenge：独立laneが「顧客の内製化」「契約期間短期化」「人月課金から成果課金への移行」をmissing variableとして提案。reference classでは類似商流変化のbase rateを取得。</w:t>
      </w:r>
    </w:p>
    <w:p>
      <w:pPr>
        <w:spacing w:after="40" w:line="276" w:lineRule="auto"/>
        <w:ind w:left="397" w:hanging="397"/>
      </w:pPr>
      <w:r>
        <w:rPr>
          <w:rFonts w:ascii="Noto Sans CJK JP" w:hAnsi="Noto Sans CJK JP" w:eastAsia="Noto Sans CJK JP"/>
          <w:b/>
        </w:rPr>
        <w:t xml:space="preserve">4.  </w:t>
      </w:r>
      <w:r>
        <w:rPr>
          <w:rFonts w:ascii="Noto Sans CJK JP" w:hAnsi="Noto Sans CJK JP" w:eastAsia="Noto Sans CJK JP"/>
        </w:rPr>
        <w:t>Decision sensitivity：市場CAGR 8→5%ではIRRが25→23.8%だが、上位顧客retention 95→85%では25→16%と仮定。Retentionがdecision-critical。</w:t>
      </w:r>
    </w:p>
    <w:p>
      <w:pPr>
        <w:spacing w:after="40" w:line="276" w:lineRule="auto"/>
        <w:ind w:left="397" w:hanging="397"/>
      </w:pPr>
      <w:r>
        <w:rPr>
          <w:rFonts w:ascii="Noto Sans CJK JP" w:hAnsi="Noto Sans CJK JP" w:eastAsia="Noto Sans CJK JP"/>
          <w:b/>
        </w:rPr>
        <w:t xml:space="preserve">5.  </w:t>
      </w:r>
      <w:r>
        <w:rPr>
          <w:rFonts w:ascii="Noto Sans CJK JP" w:hAnsi="Noto Sans CJK JP" w:eastAsia="Noto Sans CJK JP"/>
        </w:rPr>
        <w:t>Meta-controller：市場CAGRの追加Web検索より、「VDRから36か月顧客別売上を取得しcohort/churnを計算」の期待Decision Valueが高いと判定。</w:t>
      </w:r>
    </w:p>
    <w:p>
      <w:pPr>
        <w:spacing w:after="40" w:line="276" w:lineRule="auto"/>
        <w:ind w:left="397" w:hanging="397"/>
      </w:pPr>
      <w:r>
        <w:rPr>
          <w:rFonts w:ascii="Noto Sans CJK JP" w:hAnsi="Noto Sans CJK JP" w:eastAsia="Noto Sans CJK JP"/>
          <w:b/>
        </w:rPr>
        <w:t xml:space="preserve">6.  </w:t>
      </w:r>
      <w:r>
        <w:rPr>
          <w:rFonts w:ascii="Noto Sans CJK JP" w:hAnsi="Noto Sans CJK JP" w:eastAsia="Noto Sans CJK JP"/>
        </w:rPr>
        <w:t>Evidence integrity：顧客継続を支持する3記事が同一management interview起点ならCAMA的に独立1系統として扱う。</w:t>
      </w:r>
    </w:p>
    <w:p>
      <w:pPr>
        <w:spacing w:after="40" w:line="276" w:lineRule="auto"/>
        <w:ind w:left="397" w:hanging="397"/>
      </w:pPr>
      <w:r>
        <w:rPr>
          <w:rFonts w:ascii="Noto Sans CJK JP" w:hAnsi="Noto Sans CJK JP" w:eastAsia="Noto Sans CJK JP"/>
          <w:b/>
        </w:rPr>
        <w:t xml:space="preserve">7.  </w:t>
      </w:r>
      <w:r>
        <w:rPr>
          <w:rFonts w:ascii="Noto Sans CJK JP" w:hAnsi="Noto Sans CJK JP" w:eastAsia="Noto Sans CJK JP"/>
        </w:rPr>
        <w:t>Web限界：公開Webで上位顧客の解約率は取れない → UnknownのままManagement Q&amp;A/VDR requestへ切替。</w:t>
      </w:r>
    </w:p>
    <w:p>
      <w:pPr>
        <w:spacing w:after="40" w:line="276" w:lineRule="auto"/>
        <w:ind w:left="397" w:hanging="397"/>
      </w:pPr>
      <w:r>
        <w:rPr>
          <w:rFonts w:ascii="Noto Sans CJK JP" w:hAnsi="Noto Sans CJK JP" w:eastAsia="Noto Sans CJK JP"/>
          <w:b/>
        </w:rPr>
        <w:t xml:space="preserve">8.  </w:t>
      </w:r>
      <w:r>
        <w:rPr>
          <w:rFonts w:ascii="Noto Sans CJK JP" w:hAnsi="Noto Sans CJK JP" w:eastAsia="Noto Sans CJK JP"/>
        </w:rPr>
        <w:t>Decision update：新データでretention rangeを再計算しLBOへ反映。投資可否/価格閾値が変わるならICへ反映。</w:t>
      </w:r>
    </w:p>
    <w:p>
      <w:pPr>
        <w:spacing w:after="40" w:line="276" w:lineRule="auto"/>
        <w:ind w:left="397" w:hanging="397"/>
      </w:pPr>
      <w:r>
        <w:rPr>
          <w:rFonts w:ascii="Noto Sans CJK JP" w:hAnsi="Noto Sans CJK JP" w:eastAsia="Noto Sans CJK JP"/>
          <w:b/>
        </w:rPr>
        <w:t xml:space="preserve">9.  </w:t>
      </w:r>
      <w:r>
        <w:rPr>
          <w:rFonts w:ascii="Noto Sans CJK JP" w:hAnsi="Noto Sans CJK JP" w:eastAsia="Noto Sans CJK JP"/>
        </w:rPr>
        <w:t>Stop：他のResearch Actionの期待Decision Valueが小さく、残存Unknownが条件付き投資として処理されたら終了。</w:t>
      </w:r>
    </w:p>
    <w:tbl>
      <w:tblPr>
        <w:tblW w:type="auto" w:w="0"/>
        <w:jc w:val="center"/>
        <w:tblLayout w:type="autofit"/>
        <w:tblLook w:firstColumn="1" w:firstRow="1" w:lastColumn="0" w:lastRow="0" w:noHBand="0" w:noVBand="1" w:val="04A0"/>
      </w:tblPr>
      <w:tblGrid>
        <w:gridCol w:w="9866"/>
      </w:tblGrid>
      <w:tr>
        <w:trPr>
          <w:cantSplit/>
          <w:tblHeader/>
        </w:trPr>
        <w:tc>
          <w:tcPr>
            <w:tcW w:type="dxa" w:w="9866"/>
            <w:tcMar>
              <w:top w:w="120" w:type="dxa"/>
              <w:start w:w="160" w:type="dxa"/>
              <w:bottom w:w="120" w:type="dxa"/>
              <w:end w:w="160" w:type="dxa"/>
            </w:tcMar>
            <w:shd w:fill="EDF6EE"/>
          </w:tcPr>
          <w:p>
            <w:pPr>
              <w:spacing w:after="0" w:line="276" w:lineRule="auto"/>
            </w:pPr>
            <w:r>
              <w:rPr>
                <w:rFonts w:ascii="Noto Sans CJK JP" w:hAnsi="Noto Sans CJK JP" w:eastAsia="Noto Sans CJK JP"/>
                <w:b/>
                <w:color w:val="376E46"/>
                <w:sz w:val="21"/>
              </w:rPr>
              <w:t>成果物の違い</w:t>
              <w:br/>
            </w:r>
            <w:r>
              <w:rPr>
                <w:rFonts w:ascii="Noto Sans CJK JP" w:hAnsi="Noto Sans CJK JP" w:eastAsia="Noto Sans CJK JP"/>
                <w:sz w:val="19"/>
              </w:rPr>
              <w:t>Deep Researchが「詳しい会社レポート」を返すのに対し、Prismは「この判断を支える5前提／反証Evidence／未解決Unknown／それを取るべきAction／その情報が得られたら価格・IRRがどう変わるか」を返す。</w:t>
            </w:r>
          </w:p>
        </w:tc>
      </w:tr>
    </w:tbl>
    <w:p>
      <w:pPr>
        <w:spacing w:after="20"/>
      </w:pPr>
    </w:p>
    <w:p>
      <w:pPr>
        <w:pStyle w:val="Heading1"/>
      </w:pPr>
      <w:r>
        <w:t>9. 競合・代替手段を叩いた結果</w:t>
      </w:r>
    </w:p>
    <w:p>
      <w:pPr>
        <w:keepNext w:val="0"/>
        <w:spacing w:after="80" w:line="288" w:lineRule="auto"/>
      </w:pPr>
      <w:r>
        <w:rPr>
          <w:rFonts w:ascii="Noto Sans CJK JP" w:hAnsi="Noto Sans CJK JP" w:eastAsia="Noto Sans CJK JP"/>
        </w:rPr>
        <w:t>公開資料ベース。非公開の内部実装は評価できない。</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757"/>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5"/>
              </w:rPr>
              <w:t>製品/研究</w:t>
            </w:r>
          </w:p>
        </w:tc>
        <w:tc>
          <w:tcPr>
            <w:tcW w:type="dxa" w:w="2891"/>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5"/>
              </w:rPr>
              <w:t>既に強い領域</w:t>
            </w:r>
          </w:p>
        </w:tc>
        <w:tc>
          <w:tcPr>
            <w:tcW w:type="dxa" w:w="2948"/>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5"/>
              </w:rPr>
              <w:t>Prismが重複を避けるべき点</w:t>
            </w:r>
          </w:p>
        </w:tc>
        <w:tc>
          <w:tcPr>
            <w:tcW w:type="dxa" w:w="2608"/>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5"/>
              </w:rPr>
              <w:t>公開資料で未確認のPrism中核</w:t>
            </w:r>
          </w:p>
        </w:tc>
      </w:tr>
      <w:tr>
        <w:trPr>
          <w:cantSplit/>
        </w:trPr>
        <w:tc>
          <w:tcPr>
            <w:tcW w:type="dxa" w:w="1757"/>
            <w:tcMar>
              <w:top w:w="80" w:type="dxa"/>
              <w:start w:w="90" w:type="dxa"/>
              <w:bottom w:w="80" w:type="dxa"/>
              <w:end w:w="90" w:type="dxa"/>
            </w:tcMar>
            <w:vAlign w:val="top"/>
          </w:tcPr>
          <w:p>
            <w:pPr>
              <w:spacing w:after="0" w:line="264" w:lineRule="auto"/>
            </w:pPr>
            <w:r>
              <w:rPr>
                <w:rFonts w:ascii="Noto Sans CJK JP" w:hAnsi="Noto Sans CJK JP" w:eastAsia="Noto Sans CJK JP"/>
                <w:sz w:val="15"/>
              </w:rPr>
              <w:t>OpenAI Deep Research</w:t>
            </w:r>
          </w:p>
        </w:tc>
        <w:tc>
          <w:tcPr>
            <w:tcW w:type="dxa" w:w="2891"/>
            <w:tcMar>
              <w:top w:w="80" w:type="dxa"/>
              <w:start w:w="90" w:type="dxa"/>
              <w:bottom w:w="80" w:type="dxa"/>
              <w:end w:w="90" w:type="dxa"/>
            </w:tcMar>
            <w:vAlign w:val="top"/>
          </w:tcPr>
          <w:p>
            <w:pPr>
              <w:spacing w:after="0" w:line="264" w:lineRule="auto"/>
            </w:pPr>
            <w:r>
              <w:rPr>
                <w:rFonts w:ascii="Noto Sans CJK JP" w:hAnsi="Noto Sans CJK JP" w:eastAsia="Noto Sans CJK JP"/>
                <w:sz w:val="15"/>
              </w:rPr>
              <w:t>multi-step検索、backtracking、引用、files/apps/MCP</w:t>
            </w:r>
          </w:p>
        </w:tc>
        <w:tc>
          <w:tcPr>
            <w:tcW w:type="dxa" w:w="2948"/>
            <w:tcMar>
              <w:top w:w="80" w:type="dxa"/>
              <w:start w:w="90" w:type="dxa"/>
              <w:bottom w:w="80" w:type="dxa"/>
              <w:end w:w="90" w:type="dxa"/>
            </w:tcMar>
            <w:vAlign w:val="top"/>
          </w:tcPr>
          <w:p>
            <w:pPr>
              <w:spacing w:after="0" w:line="264" w:lineRule="auto"/>
            </w:pPr>
            <w:r>
              <w:rPr>
                <w:rFonts w:ascii="Noto Sans CJK JP" w:hAnsi="Noto Sans CJK JP" w:eastAsia="Noto Sans CJK JP"/>
                <w:sz w:val="15"/>
              </w:rPr>
              <w:t>調査計画・検索・report生成</w:t>
            </w:r>
          </w:p>
        </w:tc>
        <w:tc>
          <w:tcPr>
            <w:tcW w:type="dxa" w:w="2608"/>
            <w:tcMar>
              <w:top w:w="80" w:type="dxa"/>
              <w:start w:w="90" w:type="dxa"/>
              <w:bottom w:w="80" w:type="dxa"/>
              <w:end w:w="90" w:type="dxa"/>
            </w:tcMar>
            <w:vAlign w:val="top"/>
          </w:tcPr>
          <w:p>
            <w:pPr>
              <w:spacing w:after="0" w:line="264" w:lineRule="auto"/>
            </w:pPr>
            <w:r>
              <w:rPr>
                <w:rFonts w:ascii="Noto Sans CJK JP" w:hAnsi="Noto Sans CJK JP" w:eastAsia="Noto Sans CJK JP"/>
                <w:sz w:val="15"/>
              </w:rPr>
              <w:t>投資Decision utilityを外部状態として跨WorkerのResearch ActionをVoI配分し、Outcomeで校正</w:t>
            </w:r>
          </w:p>
        </w:tc>
      </w:tr>
      <w:tr>
        <w:trPr>
          <w:cantSplit/>
        </w:trPr>
        <w:tc>
          <w:tcPr>
            <w:tcW w:type="dxa" w:w="1757"/>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5"/>
              </w:rPr>
              <w:t>Sakana Marlin</w:t>
            </w:r>
          </w:p>
        </w:tc>
        <w:tc>
          <w:tcPr>
            <w:tcW w:type="dxa" w:w="289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5"/>
              </w:rPr>
              <w:t>AB-MCTS、wider/deeper、複数model、長期仮説探索</w:t>
            </w:r>
          </w:p>
        </w:tc>
        <w:tc>
          <w:tcPr>
            <w:tcW w:type="dxa" w:w="2948"/>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5"/>
              </w:rPr>
              <w:t>仮説木、幅/深さ、multi-modelそのもの</w:t>
            </w:r>
          </w:p>
        </w:tc>
        <w:tc>
          <w:tcPr>
            <w:tcW w:type="dxa" w:w="2608"/>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5"/>
              </w:rPr>
              <w:t>Evidence acquisition modality横断のdecision-centric metareasoning + explicit stop rule</w:t>
            </w:r>
          </w:p>
        </w:tc>
      </w:tr>
      <w:tr>
        <w:trPr>
          <w:cantSplit/>
        </w:trPr>
        <w:tc>
          <w:tcPr>
            <w:tcW w:type="dxa" w:w="1757"/>
            <w:tcMar>
              <w:top w:w="80" w:type="dxa"/>
              <w:start w:w="90" w:type="dxa"/>
              <w:bottom w:w="80" w:type="dxa"/>
              <w:end w:w="90" w:type="dxa"/>
            </w:tcMar>
            <w:vAlign w:val="top"/>
          </w:tcPr>
          <w:p>
            <w:pPr>
              <w:spacing w:after="0" w:line="264" w:lineRule="auto"/>
            </w:pPr>
            <w:r>
              <w:rPr>
                <w:rFonts w:ascii="Noto Sans CJK JP" w:hAnsi="Noto Sans CJK JP" w:eastAsia="Noto Sans CJK JP"/>
                <w:sz w:val="15"/>
              </w:rPr>
              <w:t>AlphaSense</w:t>
            </w:r>
          </w:p>
        </w:tc>
        <w:tc>
          <w:tcPr>
            <w:tcW w:type="dxa" w:w="2891"/>
            <w:tcMar>
              <w:top w:w="80" w:type="dxa"/>
              <w:start w:w="90" w:type="dxa"/>
              <w:bottom w:w="80" w:type="dxa"/>
              <w:end w:w="90" w:type="dxa"/>
            </w:tcMar>
            <w:vAlign w:val="top"/>
          </w:tcPr>
          <w:p>
            <w:pPr>
              <w:spacing w:after="0" w:line="264" w:lineRule="auto"/>
            </w:pPr>
            <w:r>
              <w:rPr>
                <w:rFonts w:ascii="Noto Sans CJK JP" w:hAnsi="Noto Sans CJK JP" w:eastAsia="Noto Sans CJK JP"/>
                <w:sz w:val="15"/>
              </w:rPr>
              <w:t>500M+ premium docs、Deep Research、VDR、IC、Excel/LBO、management claim validation</w:t>
            </w:r>
          </w:p>
        </w:tc>
        <w:tc>
          <w:tcPr>
            <w:tcW w:type="dxa" w:w="2948"/>
            <w:tcMar>
              <w:top w:w="80" w:type="dxa"/>
              <w:start w:w="90" w:type="dxa"/>
              <w:bottom w:w="80" w:type="dxa"/>
              <w:end w:w="90" w:type="dxa"/>
            </w:tcMar>
            <w:vAlign w:val="top"/>
          </w:tcPr>
          <w:p>
            <w:pPr>
              <w:spacing w:after="0" w:line="264" w:lineRule="auto"/>
            </w:pPr>
            <w:r>
              <w:rPr>
                <w:rFonts w:ascii="Noto Sans CJK JP" w:hAnsi="Noto Sans CJK JP" w:eastAsia="Noto Sans CJK JP"/>
                <w:sz w:val="15"/>
              </w:rPr>
              <w:t>金融data、VDR、LBO、IC memo、pressure-test</w:t>
            </w:r>
          </w:p>
        </w:tc>
        <w:tc>
          <w:tcPr>
            <w:tcW w:type="dxa" w:w="2608"/>
            <w:tcMar>
              <w:top w:w="80" w:type="dxa"/>
              <w:start w:w="90" w:type="dxa"/>
              <w:bottom w:w="80" w:type="dxa"/>
              <w:end w:w="90" w:type="dxa"/>
            </w:tcMar>
            <w:vAlign w:val="top"/>
          </w:tcPr>
          <w:p>
            <w:pPr>
              <w:spacing w:after="0" w:line="264" w:lineRule="auto"/>
            </w:pPr>
            <w:r>
              <w:rPr>
                <w:rFonts w:ascii="Noto Sans CJK JP" w:hAnsi="Noto Sans CJK JP" w:eastAsia="Noto Sans CJK JP"/>
                <w:sz w:val="15"/>
              </w:rPr>
              <w:t>formalなcross-worker Research Action VoI allocation + outcome-calibrated policy（公開資料上未確認）</w:t>
            </w:r>
          </w:p>
        </w:tc>
      </w:tr>
      <w:tr>
        <w:trPr>
          <w:cantSplit/>
        </w:trPr>
        <w:tc>
          <w:tcPr>
            <w:tcW w:type="dxa" w:w="1757"/>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5"/>
              </w:rPr>
              <w:t>Blueflame Amp</w:t>
            </w:r>
          </w:p>
        </w:tc>
        <w:tc>
          <w:tcPr>
            <w:tcW w:type="dxa" w:w="289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5"/>
              </w:rPr>
              <w:t>finance-native skills、multi-model、VDR/Excel/IC、multi-step orchestration</w:t>
            </w:r>
          </w:p>
        </w:tc>
        <w:tc>
          <w:tcPr>
            <w:tcW w:type="dxa" w:w="2948"/>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5"/>
              </w:rPr>
              <w:t>モデルrouting、deal workflow、missing info surfacing</w:t>
            </w:r>
          </w:p>
        </w:tc>
        <w:tc>
          <w:tcPr>
            <w:tcW w:type="dxa" w:w="2608"/>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5"/>
              </w:rPr>
              <w:t>投資utilityに紐づくsequential information acquisition policy（公開資料上未確認）</w:t>
            </w:r>
          </w:p>
        </w:tc>
      </w:tr>
      <w:tr>
        <w:trPr>
          <w:cantSplit/>
        </w:trPr>
        <w:tc>
          <w:tcPr>
            <w:tcW w:type="dxa" w:w="1757"/>
            <w:tcMar>
              <w:top w:w="80" w:type="dxa"/>
              <w:start w:w="90" w:type="dxa"/>
              <w:bottom w:w="80" w:type="dxa"/>
              <w:end w:w="90" w:type="dxa"/>
            </w:tcMar>
            <w:vAlign w:val="top"/>
          </w:tcPr>
          <w:p>
            <w:pPr>
              <w:spacing w:after="0" w:line="264" w:lineRule="auto"/>
            </w:pPr>
            <w:r>
              <w:rPr>
                <w:rFonts w:ascii="Noto Sans CJK JP" w:hAnsi="Noto Sans CJK JP" w:eastAsia="Noto Sans CJK JP"/>
                <w:sz w:val="15"/>
              </w:rPr>
              <w:t>Rogo / Hebbia</w:t>
            </w:r>
          </w:p>
        </w:tc>
        <w:tc>
          <w:tcPr>
            <w:tcW w:type="dxa" w:w="2891"/>
            <w:tcMar>
              <w:top w:w="80" w:type="dxa"/>
              <w:start w:w="90" w:type="dxa"/>
              <w:bottom w:w="80" w:type="dxa"/>
              <w:end w:w="90" w:type="dxa"/>
            </w:tcMar>
            <w:vAlign w:val="top"/>
          </w:tcPr>
          <w:p>
            <w:pPr>
              <w:spacing w:after="0" w:line="264" w:lineRule="auto"/>
            </w:pPr>
            <w:r>
              <w:rPr>
                <w:rFonts w:ascii="Noto Sans CJK JP" w:hAnsi="Noto Sans CJK JP" w:eastAsia="Noto Sans CJK JP"/>
                <w:sz w:val="15"/>
              </w:rPr>
              <w:t>finance workflow、large document analysis、agents、enterprise knowledge</w:t>
            </w:r>
          </w:p>
        </w:tc>
        <w:tc>
          <w:tcPr>
            <w:tcW w:type="dxa" w:w="2948"/>
            <w:tcMar>
              <w:top w:w="80" w:type="dxa"/>
              <w:start w:w="90" w:type="dxa"/>
              <w:bottom w:w="80" w:type="dxa"/>
              <w:end w:w="90" w:type="dxa"/>
            </w:tcMar>
            <w:vAlign w:val="top"/>
          </w:tcPr>
          <w:p>
            <w:pPr>
              <w:spacing w:after="0" w:line="264" w:lineRule="auto"/>
            </w:pPr>
            <w:r>
              <w:rPr>
                <w:rFonts w:ascii="Noto Sans CJK JP" w:hAnsi="Noto Sans CJK JP" w:eastAsia="Noto Sans CJK JP"/>
                <w:sz w:val="15"/>
              </w:rPr>
              <w:t>document workflow、memo/deck、multi-model</w:t>
            </w:r>
          </w:p>
        </w:tc>
        <w:tc>
          <w:tcPr>
            <w:tcW w:type="dxa" w:w="2608"/>
            <w:tcMar>
              <w:top w:w="80" w:type="dxa"/>
              <w:start w:w="90" w:type="dxa"/>
              <w:bottom w:w="80" w:type="dxa"/>
              <w:end w:w="90" w:type="dxa"/>
            </w:tcMar>
            <w:vAlign w:val="top"/>
          </w:tcPr>
          <w:p>
            <w:pPr>
              <w:spacing w:after="0" w:line="264" w:lineRule="auto"/>
            </w:pPr>
            <w:r>
              <w:rPr>
                <w:rFonts w:ascii="Noto Sans CJK JP" w:hAnsi="Noto Sans CJK JP" w:eastAsia="Noto Sans CJK JP"/>
                <w:sz w:val="15"/>
              </w:rPr>
              <w:t>同上。公開機能は急速に進化するため継続benchmark必須</w:t>
            </w:r>
          </w:p>
        </w:tc>
      </w:tr>
    </w:tbl>
    <w:p>
      <w:pPr>
        <w:spacing w:after="40"/>
      </w:pPr>
    </w:p>
    <w:tbl>
      <w:tblPr>
        <w:tblW w:type="auto" w:w="0"/>
        <w:jc w:val="center"/>
        <w:tblLayout w:type="autofit"/>
        <w:tblLook w:firstColumn="1" w:firstRow="1" w:lastColumn="0" w:lastRow="0" w:noHBand="0" w:noVBand="1" w:val="04A0"/>
      </w:tblPr>
      <w:tblGrid>
        <w:gridCol w:w="9866"/>
      </w:tblGrid>
      <w:tr>
        <w:trPr>
          <w:cantSplit/>
          <w:tblHeader/>
        </w:trPr>
        <w:tc>
          <w:tcPr>
            <w:tcW w:type="dxa" w:w="9866"/>
            <w:tcMar>
              <w:top w:w="120" w:type="dxa"/>
              <w:start w:w="160" w:type="dxa"/>
              <w:bottom w:w="120" w:type="dxa"/>
              <w:end w:w="160" w:type="dxa"/>
            </w:tcMar>
            <w:shd w:fill="FDECEC"/>
          </w:tcPr>
          <w:p>
            <w:pPr>
              <w:spacing w:after="0" w:line="276" w:lineRule="auto"/>
            </w:pPr>
            <w:r>
              <w:rPr>
                <w:rFonts w:ascii="Noto Sans CJK JP" w:hAnsi="Noto Sans CJK JP" w:eastAsia="Noto Sans CJK JP"/>
                <w:b/>
                <w:color w:val="A03232"/>
                <w:sz w:val="21"/>
              </w:rPr>
              <w:t>競争上の現実</w:t>
              <w:br/>
            </w:r>
            <w:r>
              <w:rPr>
                <w:rFonts w:ascii="Noto Sans CJK JP" w:hAnsi="Noto Sans CJK JP" w:eastAsia="Noto Sans CJK JP"/>
                <w:sz w:val="19"/>
              </w:rPr>
              <w:t>「金融向け」「multi-model」「VDR」「Excel」「IC memo」「gap detection」は既に赤い海。Prismはそれらを再実装しない。AlphaSense/Blueflame等を必要ならWorker/Sourceとして使える制御面に寄せる。</w:t>
            </w:r>
          </w:p>
        </w:tc>
      </w:tr>
    </w:tbl>
    <w:p>
      <w:pPr>
        <w:spacing w:after="20"/>
      </w:pPr>
    </w:p>
    <w:p>
      <w:pPr>
        <w:pStyle w:val="Heading1"/>
      </w:pPr>
      <w:r>
        <w:t>10. なぜモデルが強くなるほどPrismも伸びるのか</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3685"/>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7"/>
              </w:rPr>
              <w:t>将来の進化</w:t>
            </w:r>
          </w:p>
        </w:tc>
        <w:tc>
          <w:tcPr>
            <w:tcW w:type="dxa" w:w="5953"/>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7"/>
              </w:rPr>
              <w:t>Prismへの効果</w:t>
            </w:r>
          </w:p>
        </w:tc>
      </w:tr>
      <w:tr>
        <w:trPr>
          <w:cantSplit/>
        </w:trPr>
        <w:tc>
          <w:tcPr>
            <w:tcW w:type="dxa" w:w="3685"/>
            <w:tcMar>
              <w:top w:w="80" w:type="dxa"/>
              <w:start w:w="90" w:type="dxa"/>
              <w:bottom w:w="80" w:type="dxa"/>
              <w:end w:w="90" w:type="dxa"/>
            </w:tcMar>
            <w:vAlign w:val="top"/>
          </w:tcPr>
          <w:p>
            <w:pPr>
              <w:spacing w:after="0" w:line="264" w:lineRule="auto"/>
            </w:pPr>
            <w:r>
              <w:rPr>
                <w:rFonts w:ascii="Noto Sans CJK JP" w:hAnsi="Noto Sans CJK JP" w:eastAsia="Noto Sans CJK JP"/>
                <w:sz w:val="17"/>
              </w:rPr>
              <w:t>Frontier LLMのreasoning向上</w:t>
            </w:r>
          </w:p>
        </w:tc>
        <w:tc>
          <w:tcPr>
            <w:tcW w:type="dxa" w:w="5953"/>
            <w:tcMar>
              <w:top w:w="80" w:type="dxa"/>
              <w:start w:w="90" w:type="dxa"/>
              <w:bottom w:w="80" w:type="dxa"/>
              <w:end w:w="90" w:type="dxa"/>
            </w:tcMar>
            <w:vAlign w:val="top"/>
          </w:tcPr>
          <w:p>
            <w:pPr>
              <w:spacing w:after="0" w:line="264" w:lineRule="auto"/>
            </w:pPr>
            <w:r>
              <w:rPr>
                <w:rFonts w:ascii="Noto Sans CJK JP" w:hAnsi="Noto Sans CJK JP" w:eastAsia="Noto Sans CJK JP"/>
                <w:sz w:val="17"/>
              </w:rPr>
              <w:t>missing-variable生成、Evidence interpretation、action outcome予測が改善</w:t>
            </w:r>
          </w:p>
        </w:tc>
      </w:tr>
      <w:tr>
        <w:trPr>
          <w:cantSplit/>
        </w:trPr>
        <w:tc>
          <w:tcPr>
            <w:tcW w:type="dxa" w:w="3685"/>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7"/>
              </w:rPr>
              <w:t>Deep Researchのsearch/retrieval向上</w:t>
            </w:r>
          </w:p>
        </w:tc>
        <w:tc>
          <w:tcPr>
            <w:tcW w:type="dxa" w:w="5953"/>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7"/>
              </w:rPr>
              <w:t>Web/premium Research Actionの成功率と情報密度が上がる</w:t>
            </w:r>
          </w:p>
        </w:tc>
      </w:tr>
      <w:tr>
        <w:trPr>
          <w:cantSplit/>
        </w:trPr>
        <w:tc>
          <w:tcPr>
            <w:tcW w:type="dxa" w:w="3685"/>
            <w:tcMar>
              <w:top w:w="80" w:type="dxa"/>
              <w:start w:w="90" w:type="dxa"/>
              <w:bottom w:w="80" w:type="dxa"/>
              <w:end w:w="90" w:type="dxa"/>
            </w:tcMar>
            <w:vAlign w:val="top"/>
          </w:tcPr>
          <w:p>
            <w:pPr>
              <w:spacing w:after="0" w:line="264" w:lineRule="auto"/>
            </w:pPr>
            <w:r>
              <w:rPr>
                <w:rFonts w:ascii="Noto Sans CJK JP" w:hAnsi="Noto Sans CJK JP" w:eastAsia="Noto Sans CJK JP"/>
                <w:sz w:val="17"/>
              </w:rPr>
              <w:t>Marlinの長期探索向上</w:t>
            </w:r>
          </w:p>
        </w:tc>
        <w:tc>
          <w:tcPr>
            <w:tcW w:type="dxa" w:w="5953"/>
            <w:tcMar>
              <w:top w:w="80" w:type="dxa"/>
              <w:start w:w="90" w:type="dxa"/>
              <w:bottom w:w="80" w:type="dxa"/>
              <w:end w:w="90" w:type="dxa"/>
            </w:tcMar>
            <w:vAlign w:val="top"/>
          </w:tcPr>
          <w:p>
            <w:pPr>
              <w:spacing w:after="0" w:line="264" w:lineRule="auto"/>
            </w:pPr>
            <w:r>
              <w:rPr>
                <w:rFonts w:ascii="Noto Sans CJK JP" w:hAnsi="Noto Sans CJK JP" w:eastAsia="Noto Sans CJK JP"/>
                <w:sz w:val="17"/>
              </w:rPr>
              <w:t>特定の難しい仮説検証をWorkerとして委託した際の質が上がる</w:t>
            </w:r>
          </w:p>
        </w:tc>
      </w:tr>
      <w:tr>
        <w:trPr>
          <w:cantSplit/>
        </w:trPr>
        <w:tc>
          <w:tcPr>
            <w:tcW w:type="dxa" w:w="3685"/>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7"/>
              </w:rPr>
              <w:t>Tool/APIの低価格化</w:t>
            </w:r>
          </w:p>
        </w:tc>
        <w:tc>
          <w:tcPr>
            <w:tcW w:type="dxa" w:w="5953"/>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7"/>
              </w:rPr>
              <w:t>同一Research budgetでより多いActionを評価/実行可能</w:t>
            </w:r>
          </w:p>
        </w:tc>
      </w:tr>
      <w:tr>
        <w:trPr>
          <w:cantSplit/>
        </w:trPr>
        <w:tc>
          <w:tcPr>
            <w:tcW w:type="dxa" w:w="3685"/>
            <w:tcMar>
              <w:top w:w="80" w:type="dxa"/>
              <w:start w:w="90" w:type="dxa"/>
              <w:bottom w:w="80" w:type="dxa"/>
              <w:end w:w="90" w:type="dxa"/>
            </w:tcMar>
            <w:vAlign w:val="top"/>
          </w:tcPr>
          <w:p>
            <w:pPr>
              <w:spacing w:after="0" w:line="264" w:lineRule="auto"/>
            </w:pPr>
            <w:r>
              <w:rPr>
                <w:rFonts w:ascii="Noto Sans CJK JP" w:hAnsi="Noto Sans CJK JP" w:eastAsia="Noto Sans CJK JP"/>
                <w:sz w:val="17"/>
              </w:rPr>
              <w:t>金融AIのpremium corpus拡大</w:t>
            </w:r>
          </w:p>
        </w:tc>
        <w:tc>
          <w:tcPr>
            <w:tcW w:type="dxa" w:w="5953"/>
            <w:tcMar>
              <w:top w:w="80" w:type="dxa"/>
              <w:start w:w="90" w:type="dxa"/>
              <w:bottom w:w="80" w:type="dxa"/>
              <w:end w:w="90" w:type="dxa"/>
            </w:tcMar>
            <w:vAlign w:val="top"/>
          </w:tcPr>
          <w:p>
            <w:pPr>
              <w:spacing w:after="0" w:line="264" w:lineRule="auto"/>
            </w:pPr>
            <w:r>
              <w:rPr>
                <w:rFonts w:ascii="Noto Sans CJK JP" w:hAnsi="Noto Sans CJK JP" w:eastAsia="Noto Sans CJK JP"/>
                <w:sz w:val="17"/>
              </w:rPr>
              <w:t>Prismが選べるEvidence channelが増える</w:t>
            </w:r>
          </w:p>
        </w:tc>
      </w:tr>
    </w:tbl>
    <w:p>
      <w:pPr>
        <w:spacing w:after="40"/>
      </w:pPr>
    </w:p>
    <w:p>
      <w:pPr>
        <w:keepNext w:val="0"/>
        <w:spacing w:after="80" w:line="288" w:lineRule="auto"/>
      </w:pPr>
      <w:r>
        <w:rPr>
          <w:rFonts w:ascii="Noto Sans CJK JP" w:hAnsi="Noto Sans CJK JP" w:eastAsia="Noto Sans CJK JP"/>
          <w:b/>
        </w:rPr>
        <w:t>ただし</w:t>
      </w:r>
      <w:r>
        <w:rPr>
          <w:rFonts w:ascii="Noto Sans CJK JP" w:hAnsi="Noto Sans CJK JP" w:eastAsia="Noto Sans CJK JP"/>
        </w:rPr>
        <w:t>「モデル進化で絶対に陳腐化しない」とは言えない。Deep Research/金融AIが将来、外部Decision Model、formal VoI、Evidence dependency/retrievability、outcome calibrationまで統合すれば機能差は縮む。Prismの防御は、モデル非依存アーキテクチャ、firm-specific outcome calibration、歴史案件のreference class、benchmark/swap policyである。</w:t>
      </w:r>
    </w:p>
    <w:p>
      <w:pPr>
        <w:pStyle w:val="Heading1"/>
      </w:pPr>
      <w:r>
        <w:t>11. Red Team：Prismが失敗する条件</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494"/>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6"/>
              </w:rPr>
              <w:t>Failure mode</w:t>
            </w:r>
          </w:p>
        </w:tc>
        <w:tc>
          <w:tcPr>
            <w:tcW w:type="dxa" w:w="3515"/>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6"/>
              </w:rPr>
              <w:t>なぜ危険か</w:t>
            </w:r>
          </w:p>
        </w:tc>
        <w:tc>
          <w:tcPr>
            <w:tcW w:type="dxa" w:w="3628"/>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6"/>
              </w:rPr>
              <w:t>対策 / Kill criterion</w:t>
            </w:r>
          </w:p>
        </w:tc>
      </w:tr>
      <w:tr>
        <w:trPr>
          <w:cantSplit/>
        </w:trPr>
        <w:tc>
          <w:tcPr>
            <w:tcW w:type="dxa" w:w="2494"/>
            <w:tcMar>
              <w:top w:w="80" w:type="dxa"/>
              <w:start w:w="90" w:type="dxa"/>
              <w:bottom w:w="80" w:type="dxa"/>
              <w:end w:w="90" w:type="dxa"/>
            </w:tcMar>
            <w:vAlign w:val="top"/>
          </w:tcPr>
          <w:p>
            <w:pPr>
              <w:spacing w:after="0" w:line="264" w:lineRule="auto"/>
            </w:pPr>
            <w:r>
              <w:rPr>
                <w:rFonts w:ascii="Noto Sans CJK JP" w:hAnsi="Noto Sans CJK JP" w:eastAsia="Noto Sans CJK JP"/>
                <w:sz w:val="16"/>
              </w:rPr>
              <w:t>Decision modelが粗い</w:t>
            </w:r>
          </w:p>
        </w:tc>
        <w:tc>
          <w:tcPr>
            <w:tcW w:type="dxa" w:w="3515"/>
            <w:tcMar>
              <w:top w:w="80" w:type="dxa"/>
              <w:start w:w="90" w:type="dxa"/>
              <w:bottom w:w="80" w:type="dxa"/>
              <w:end w:w="90" w:type="dxa"/>
            </w:tcMar>
            <w:vAlign w:val="top"/>
          </w:tcPr>
          <w:p>
            <w:pPr>
              <w:spacing w:after="0" w:line="264" w:lineRule="auto"/>
            </w:pPr>
            <w:r>
              <w:rPr>
                <w:rFonts w:ascii="Noto Sans CJK JP" w:hAnsi="Noto Sans CJK JP" w:eastAsia="Noto Sans CJK JP"/>
                <w:sz w:val="16"/>
              </w:rPr>
              <w:t>VoIが間違った論点へResearchを集中させる</w:t>
            </w:r>
          </w:p>
        </w:tc>
        <w:tc>
          <w:tcPr>
            <w:tcW w:type="dxa" w:w="3628"/>
            <w:tcMar>
              <w:top w:w="80" w:type="dxa"/>
              <w:start w:w="90" w:type="dxa"/>
              <w:bottom w:w="80" w:type="dxa"/>
              <w:end w:w="90" w:type="dxa"/>
            </w:tcMar>
            <w:vAlign w:val="top"/>
          </w:tcPr>
          <w:p>
            <w:pPr>
              <w:spacing w:after="0" w:line="264" w:lineRule="auto"/>
            </w:pPr>
            <w:r>
              <w:rPr>
                <w:rFonts w:ascii="Noto Sans CJK JP" w:hAnsi="Noto Sans CJK JP" w:eastAsia="Noto Sans CJK JP"/>
                <w:sz w:val="16"/>
              </w:rPr>
              <w:t>OUTER challenge、sensitivity audit。過去案件で重要論点recallがbaseline以下なら停止。</w:t>
            </w:r>
          </w:p>
        </w:tc>
      </w:tr>
      <w:tr>
        <w:trPr>
          <w:cantSplit/>
        </w:trPr>
        <w:tc>
          <w:tcPr>
            <w:tcW w:type="dxa" w:w="2494"/>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LLMが偽の確率を作る</w:t>
            </w:r>
          </w:p>
        </w:tc>
        <w:tc>
          <w:tcPr>
            <w:tcW w:type="dxa" w:w="3515"/>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精密そうなpseudo-Bayesになる</w:t>
            </w:r>
          </w:p>
        </w:tc>
        <w:tc>
          <w:tcPr>
            <w:tcW w:type="dxa" w:w="3628"/>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MVPはordinal/range中心。確率は校正可能な箇所だけ。</w:t>
            </w:r>
          </w:p>
        </w:tc>
      </w:tr>
      <w:tr>
        <w:trPr>
          <w:cantSplit/>
        </w:trPr>
        <w:tc>
          <w:tcPr>
            <w:tcW w:type="dxa" w:w="2494"/>
            <w:tcMar>
              <w:top w:w="80" w:type="dxa"/>
              <w:start w:w="90" w:type="dxa"/>
              <w:bottom w:w="80" w:type="dxa"/>
              <w:end w:w="90" w:type="dxa"/>
            </w:tcMar>
            <w:vAlign w:val="top"/>
          </w:tcPr>
          <w:p>
            <w:pPr>
              <w:spacing w:after="0" w:line="264" w:lineRule="auto"/>
            </w:pPr>
            <w:r>
              <w:rPr>
                <w:rFonts w:ascii="Noto Sans CJK JP" w:hAnsi="Noto Sans CJK JP" w:eastAsia="Noto Sans CJK JP"/>
                <w:sz w:val="16"/>
              </w:rPr>
              <w:t>Web-onlyに閉じる</w:t>
            </w:r>
          </w:p>
        </w:tc>
        <w:tc>
          <w:tcPr>
            <w:tcW w:type="dxa" w:w="3515"/>
            <w:tcMar>
              <w:top w:w="80" w:type="dxa"/>
              <w:start w:w="90" w:type="dxa"/>
              <w:bottom w:w="80" w:type="dxa"/>
              <w:end w:w="90" w:type="dxa"/>
            </w:tcMar>
            <w:vAlign w:val="top"/>
          </w:tcPr>
          <w:p>
            <w:pPr>
              <w:spacing w:after="0" w:line="264" w:lineRule="auto"/>
            </w:pPr>
            <w:r>
              <w:rPr>
                <w:rFonts w:ascii="Noto Sans CJK JP" w:hAnsi="Noto Sans CJK JP" w:eastAsia="Noto Sans CJK JP"/>
                <w:sz w:val="16"/>
              </w:rPr>
              <w:t>非公開の本質Evidenceに到達しない</w:t>
            </w:r>
          </w:p>
        </w:tc>
        <w:tc>
          <w:tcPr>
            <w:tcW w:type="dxa" w:w="3628"/>
            <w:tcMar>
              <w:top w:w="80" w:type="dxa"/>
              <w:start w:w="90" w:type="dxa"/>
              <w:bottom w:w="80" w:type="dxa"/>
              <w:end w:w="90" w:type="dxa"/>
            </w:tcMar>
            <w:vAlign w:val="top"/>
          </w:tcPr>
          <w:p>
            <w:pPr>
              <w:spacing w:after="0" w:line="264" w:lineRule="auto"/>
            </w:pPr>
            <w:r>
              <w:rPr>
                <w:rFonts w:ascii="Noto Sans CJK JP" w:hAnsi="Noto Sans CJK JP" w:eastAsia="Noto Sans CJK JP"/>
                <w:sz w:val="16"/>
              </w:rPr>
              <w:t>retrievability gateでVDR/expert/Mgmt/computeへ切替。</w:t>
            </w:r>
          </w:p>
        </w:tc>
      </w:tr>
      <w:tr>
        <w:trPr>
          <w:cantSplit/>
        </w:trPr>
        <w:tc>
          <w:tcPr>
            <w:tcW w:type="dxa" w:w="2494"/>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Agentsが同調する</w:t>
            </w:r>
          </w:p>
        </w:tc>
        <w:tc>
          <w:tcPr>
            <w:tcW w:type="dxa" w:w="3515"/>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見かけ上の多数決でblind spot</w:t>
            </w:r>
          </w:p>
        </w:tc>
        <w:tc>
          <w:tcPr>
            <w:tcW w:type="dxa" w:w="3628"/>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challenge lanesを初期隔離し、provenance/independenceを測る。</w:t>
            </w:r>
          </w:p>
        </w:tc>
      </w:tr>
      <w:tr>
        <w:trPr>
          <w:cantSplit/>
        </w:trPr>
        <w:tc>
          <w:tcPr>
            <w:tcW w:type="dxa" w:w="2494"/>
            <w:tcMar>
              <w:top w:w="80" w:type="dxa"/>
              <w:start w:w="90" w:type="dxa"/>
              <w:bottom w:w="80" w:type="dxa"/>
              <w:end w:w="90" w:type="dxa"/>
            </w:tcMar>
            <w:vAlign w:val="top"/>
          </w:tcPr>
          <w:p>
            <w:pPr>
              <w:spacing w:after="0" w:line="264" w:lineRule="auto"/>
            </w:pPr>
            <w:r>
              <w:rPr>
                <w:rFonts w:ascii="Noto Sans CJK JP" w:hAnsi="Noto Sans CJK JP" w:eastAsia="Noto Sans CJK JP"/>
                <w:sz w:val="16"/>
              </w:rPr>
              <w:t>Research costが過大</w:t>
            </w:r>
          </w:p>
        </w:tc>
        <w:tc>
          <w:tcPr>
            <w:tcW w:type="dxa" w:w="3515"/>
            <w:tcMar>
              <w:top w:w="80" w:type="dxa"/>
              <w:start w:w="90" w:type="dxa"/>
              <w:bottom w:w="80" w:type="dxa"/>
              <w:end w:w="90" w:type="dxa"/>
            </w:tcMar>
            <w:vAlign w:val="top"/>
          </w:tcPr>
          <w:p>
            <w:pPr>
              <w:spacing w:after="0" w:line="264" w:lineRule="auto"/>
            </w:pPr>
            <w:r>
              <w:rPr>
                <w:rFonts w:ascii="Noto Sans CJK JP" w:hAnsi="Noto Sans CJK JP" w:eastAsia="Noto Sans CJK JP"/>
                <w:sz w:val="16"/>
              </w:rPr>
              <w:t>良いが遅く案件に使えない</w:t>
            </w:r>
          </w:p>
        </w:tc>
        <w:tc>
          <w:tcPr>
            <w:tcW w:type="dxa" w:w="3628"/>
            <w:tcMar>
              <w:top w:w="80" w:type="dxa"/>
              <w:start w:w="90" w:type="dxa"/>
              <w:bottom w:w="80" w:type="dxa"/>
              <w:end w:w="90" w:type="dxa"/>
            </w:tcMar>
            <w:vAlign w:val="top"/>
          </w:tcPr>
          <w:p>
            <w:pPr>
              <w:spacing w:after="0" w:line="264" w:lineRule="auto"/>
            </w:pPr>
            <w:r>
              <w:rPr>
                <w:rFonts w:ascii="Noto Sans CJK JP" w:hAnsi="Noto Sans CJK JP" w:eastAsia="Noto Sans CJK JP"/>
                <w:sz w:val="16"/>
              </w:rPr>
              <w:t>NetResearchValueにtime/costを入れ、budget別modeを用意。</w:t>
            </w:r>
          </w:p>
        </w:tc>
      </w:tr>
      <w:tr>
        <w:trPr>
          <w:cantSplit/>
        </w:trPr>
        <w:tc>
          <w:tcPr>
            <w:tcW w:type="dxa" w:w="2494"/>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金融AIに吸収される</w:t>
            </w:r>
          </w:p>
        </w:tc>
        <w:tc>
          <w:tcPr>
            <w:tcW w:type="dxa" w:w="3515"/>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Moat消失</w:t>
            </w:r>
          </w:p>
        </w:tc>
        <w:tc>
          <w:tcPr>
            <w:tcW w:type="dxa" w:w="3628"/>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quarterly benchmark。commodity化したmoduleは外部Workerに置換し、firm calibrationに集中。</w:t>
            </w:r>
          </w:p>
        </w:tc>
      </w:tr>
      <w:tr>
        <w:trPr>
          <w:cantSplit/>
        </w:trPr>
        <w:tc>
          <w:tcPr>
            <w:tcW w:type="dxa" w:w="2494"/>
            <w:tcMar>
              <w:top w:w="80" w:type="dxa"/>
              <w:start w:w="90" w:type="dxa"/>
              <w:bottom w:w="80" w:type="dxa"/>
              <w:end w:w="90" w:type="dxa"/>
            </w:tcMar>
            <w:vAlign w:val="top"/>
          </w:tcPr>
          <w:p>
            <w:pPr>
              <w:spacing w:after="0" w:line="264" w:lineRule="auto"/>
            </w:pPr>
            <w:r>
              <w:rPr>
                <w:rFonts w:ascii="Noto Sans CJK JP" w:hAnsi="Noto Sans CJK JP" w:eastAsia="Noto Sans CJK JP"/>
                <w:sz w:val="16"/>
              </w:rPr>
              <w:t>成果がreport品質止まり</w:t>
            </w:r>
          </w:p>
        </w:tc>
        <w:tc>
          <w:tcPr>
            <w:tcW w:type="dxa" w:w="3515"/>
            <w:tcMar>
              <w:top w:w="80" w:type="dxa"/>
              <w:start w:w="90" w:type="dxa"/>
              <w:bottom w:w="80" w:type="dxa"/>
              <w:end w:w="90" w:type="dxa"/>
            </w:tcMar>
            <w:vAlign w:val="top"/>
          </w:tcPr>
          <w:p>
            <w:pPr>
              <w:spacing w:after="0" w:line="264" w:lineRule="auto"/>
            </w:pPr>
            <w:r>
              <w:rPr>
                <w:rFonts w:ascii="Noto Sans CJK JP" w:hAnsi="Noto Sans CJK JP" w:eastAsia="Noto Sans CJK JP"/>
                <w:sz w:val="16"/>
              </w:rPr>
              <w:t>投資価値が証明できない</w:t>
            </w:r>
          </w:p>
        </w:tc>
        <w:tc>
          <w:tcPr>
            <w:tcW w:type="dxa" w:w="3628"/>
            <w:tcMar>
              <w:top w:w="80" w:type="dxa"/>
              <w:start w:w="90" w:type="dxa"/>
              <w:bottom w:w="80" w:type="dxa"/>
              <w:end w:w="90" w:type="dxa"/>
            </w:tcMar>
            <w:vAlign w:val="top"/>
          </w:tcPr>
          <w:p>
            <w:pPr>
              <w:spacing w:after="0" w:line="264" w:lineRule="auto"/>
            </w:pPr>
            <w:r>
              <w:rPr>
                <w:rFonts w:ascii="Noto Sans CJK JP" w:hAnsi="Noto Sans CJK JP" w:eastAsia="Noto Sans CJK JP"/>
                <w:sz w:val="16"/>
              </w:rPr>
              <w:t>評価指標をdecision change/critical blindspot/calibrationへ。文章評価だけならプロジェクト中止。</w:t>
            </w:r>
          </w:p>
        </w:tc>
      </w:tr>
    </w:tbl>
    <w:p>
      <w:pPr>
        <w:spacing w:after="40"/>
      </w:pPr>
    </w:p>
    <w:p>
      <w:pPr>
        <w:pStyle w:val="Heading1"/>
      </w:pPr>
      <w:r>
        <w:t>12. 「本当にすごいか」を証明する評価設計</w:t>
      </w:r>
    </w:p>
    <w:p>
      <w:pPr>
        <w:keepNext w:val="0"/>
        <w:spacing w:after="80" w:line="288" w:lineRule="auto"/>
      </w:pPr>
      <w:r>
        <w:rPr>
          <w:rFonts w:ascii="Noto Sans CJK JP" w:hAnsi="Noto Sans CJK JP" w:eastAsia="Noto Sans CJK JP"/>
        </w:rPr>
        <w:t>Prismは設計思想だけでは価値を証明できない。以下のblinded benchmarkを通過した場合のみ本開発へ進む。</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531"/>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6"/>
              </w:rPr>
              <w:t>Phase</w:t>
            </w:r>
          </w:p>
        </w:tc>
        <w:tc>
          <w:tcPr>
            <w:tcW w:type="dxa" w:w="2721"/>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6"/>
              </w:rPr>
              <w:t>対象</w:t>
            </w:r>
          </w:p>
        </w:tc>
        <w:tc>
          <w:tcPr>
            <w:tcW w:type="dxa" w:w="2721"/>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6"/>
              </w:rPr>
              <w:t>比較対象</w:t>
            </w:r>
          </w:p>
        </w:tc>
        <w:tc>
          <w:tcPr>
            <w:tcW w:type="dxa" w:w="2665"/>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6"/>
              </w:rPr>
              <w:t>合格条件（例）</w:t>
            </w:r>
          </w:p>
        </w:tc>
      </w:tr>
      <w:tr>
        <w:trPr>
          <w:cantSplit/>
        </w:trPr>
        <w:tc>
          <w:tcPr>
            <w:tcW w:type="dxa" w:w="1531"/>
            <w:tcMar>
              <w:top w:w="80" w:type="dxa"/>
              <w:start w:w="90" w:type="dxa"/>
              <w:bottom w:w="80" w:type="dxa"/>
              <w:end w:w="90" w:type="dxa"/>
            </w:tcMar>
            <w:vAlign w:val="top"/>
          </w:tcPr>
          <w:p>
            <w:pPr>
              <w:spacing w:after="0" w:line="264" w:lineRule="auto"/>
            </w:pPr>
            <w:r>
              <w:rPr>
                <w:rFonts w:ascii="Noto Sans CJK JP" w:hAnsi="Noto Sans CJK JP" w:eastAsia="Noto Sans CJK JP"/>
                <w:sz w:val="16"/>
              </w:rPr>
              <w:t>Retrospective</w:t>
            </w:r>
          </w:p>
        </w:tc>
        <w:tc>
          <w:tcPr>
            <w:tcW w:type="dxa" w:w="2721"/>
            <w:tcMar>
              <w:top w:w="80" w:type="dxa"/>
              <w:start w:w="90" w:type="dxa"/>
              <w:bottom w:w="80" w:type="dxa"/>
              <w:end w:w="90" w:type="dxa"/>
            </w:tcMar>
            <w:vAlign w:val="top"/>
          </w:tcPr>
          <w:p>
            <w:pPr>
              <w:spacing w:after="0" w:line="264" w:lineRule="auto"/>
            </w:pPr>
            <w:r>
              <w:rPr>
                <w:rFonts w:ascii="Noto Sans CJK JP" w:hAnsi="Noto Sans CJK JP" w:eastAsia="Noto Sans CJK JP"/>
                <w:sz w:val="16"/>
              </w:rPr>
              <w:t>過去30–50案件の当時時点資料</w:t>
            </w:r>
          </w:p>
        </w:tc>
        <w:tc>
          <w:tcPr>
            <w:tcW w:type="dxa" w:w="2721"/>
            <w:tcMar>
              <w:top w:w="80" w:type="dxa"/>
              <w:start w:w="90" w:type="dxa"/>
              <w:bottom w:w="80" w:type="dxa"/>
              <w:end w:w="90" w:type="dxa"/>
            </w:tcMar>
            <w:vAlign w:val="top"/>
          </w:tcPr>
          <w:p>
            <w:pPr>
              <w:spacing w:after="0" w:line="264" w:lineRule="auto"/>
            </w:pPr>
            <w:r>
              <w:rPr>
                <w:rFonts w:ascii="Noto Sans CJK JP" w:hAnsi="Noto Sans CJK JP" w:eastAsia="Noto Sans CJK JP"/>
                <w:sz w:val="16"/>
              </w:rPr>
              <w:t>人間メモ、Deep Research、Marlin/金融AI（利用可能時）</w:t>
            </w:r>
          </w:p>
        </w:tc>
        <w:tc>
          <w:tcPr>
            <w:tcW w:type="dxa" w:w="2665"/>
            <w:tcMar>
              <w:top w:w="80" w:type="dxa"/>
              <w:start w:w="90" w:type="dxa"/>
              <w:bottom w:w="80" w:type="dxa"/>
              <w:end w:w="90" w:type="dxa"/>
            </w:tcMar>
            <w:vAlign w:val="top"/>
          </w:tcPr>
          <w:p>
            <w:pPr>
              <w:spacing w:after="0" w:line="264" w:lineRule="auto"/>
            </w:pPr>
            <w:r>
              <w:rPr>
                <w:rFonts w:ascii="Noto Sans CJK JP" w:hAnsi="Noto Sans CJK JP" w:eastAsia="Noto Sans CJK JP"/>
                <w:sz w:val="16"/>
              </w:rPr>
              <w:t>重要blindspot recall、evidence independence、decision-relevant findingで優位</w:t>
            </w:r>
          </w:p>
        </w:tc>
      </w:tr>
      <w:tr>
        <w:trPr>
          <w:cantSplit/>
        </w:trPr>
        <w:tc>
          <w:tcPr>
            <w:tcW w:type="dxa" w:w="153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Shadow live</w:t>
            </w:r>
          </w:p>
        </w:tc>
        <w:tc>
          <w:tcPr>
            <w:tcW w:type="dxa" w:w="272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10–20 live案件、ICへ影響させず並走</w:t>
            </w:r>
          </w:p>
        </w:tc>
        <w:tc>
          <w:tcPr>
            <w:tcW w:type="dxa" w:w="2721"/>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現行DDプロセス</w:t>
            </w:r>
          </w:p>
        </w:tc>
        <w:tc>
          <w:tcPr>
            <w:tcW w:type="dxa" w:w="2665"/>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追加で発見した重要論点が実際のDD request/price/conditionに採用される</w:t>
            </w:r>
          </w:p>
        </w:tc>
      </w:tr>
      <w:tr>
        <w:trPr>
          <w:cantSplit/>
        </w:trPr>
        <w:tc>
          <w:tcPr>
            <w:tcW w:type="dxa" w:w="1531"/>
            <w:tcMar>
              <w:top w:w="80" w:type="dxa"/>
              <w:start w:w="90" w:type="dxa"/>
              <w:bottom w:w="80" w:type="dxa"/>
              <w:end w:w="90" w:type="dxa"/>
            </w:tcMar>
            <w:vAlign w:val="top"/>
          </w:tcPr>
          <w:p>
            <w:pPr>
              <w:spacing w:after="0" w:line="264" w:lineRule="auto"/>
            </w:pPr>
            <w:r>
              <w:rPr>
                <w:rFonts w:ascii="Noto Sans CJK JP" w:hAnsi="Noto Sans CJK JP" w:eastAsia="Noto Sans CJK JP"/>
                <w:sz w:val="16"/>
              </w:rPr>
              <w:t>Prospective</w:t>
            </w:r>
          </w:p>
        </w:tc>
        <w:tc>
          <w:tcPr>
            <w:tcW w:type="dxa" w:w="2721"/>
            <w:tcMar>
              <w:top w:w="80" w:type="dxa"/>
              <w:start w:w="90" w:type="dxa"/>
              <w:bottom w:w="80" w:type="dxa"/>
              <w:end w:w="90" w:type="dxa"/>
            </w:tcMar>
            <w:vAlign w:val="top"/>
          </w:tcPr>
          <w:p>
            <w:pPr>
              <w:spacing w:after="0" w:line="264" w:lineRule="auto"/>
            </w:pPr>
            <w:r>
              <w:rPr>
                <w:rFonts w:ascii="Noto Sans CJK JP" w:hAnsi="Noto Sans CJK JP" w:eastAsia="Noto Sans CJK JP"/>
                <w:sz w:val="16"/>
              </w:rPr>
              <w:t>限定案件で正式運用</w:t>
            </w:r>
          </w:p>
        </w:tc>
        <w:tc>
          <w:tcPr>
            <w:tcW w:type="dxa" w:w="2721"/>
            <w:tcMar>
              <w:top w:w="80" w:type="dxa"/>
              <w:start w:w="90" w:type="dxa"/>
              <w:bottom w:w="80" w:type="dxa"/>
              <w:end w:w="90" w:type="dxa"/>
            </w:tcMar>
            <w:vAlign w:val="top"/>
          </w:tcPr>
          <w:p>
            <w:pPr>
              <w:spacing w:after="0" w:line="264" w:lineRule="auto"/>
            </w:pPr>
            <w:r>
              <w:rPr>
                <w:rFonts w:ascii="Noto Sans CJK JP" w:hAnsi="Noto Sans CJK JP" w:eastAsia="Noto Sans CJK JP"/>
                <w:sz w:val="16"/>
              </w:rPr>
              <w:t>従来プロセス</w:t>
            </w:r>
          </w:p>
        </w:tc>
        <w:tc>
          <w:tcPr>
            <w:tcW w:type="dxa" w:w="2665"/>
            <w:tcMar>
              <w:top w:w="80" w:type="dxa"/>
              <w:start w:w="90" w:type="dxa"/>
              <w:bottom w:w="80" w:type="dxa"/>
              <w:end w:w="90" w:type="dxa"/>
            </w:tcMar>
            <w:vAlign w:val="top"/>
          </w:tcPr>
          <w:p>
            <w:pPr>
              <w:spacing w:after="0" w:line="264" w:lineRule="auto"/>
            </w:pPr>
            <w:r>
              <w:rPr>
                <w:rFonts w:ascii="Noto Sans CJK JP" w:hAnsi="Noto Sans CJK JP" w:eastAsia="Noto Sans CJK JP"/>
                <w:sz w:val="16"/>
              </w:rPr>
              <w:t>Research時間/費用を増やさずdecision calibration改善、または同品質で大幅効率化</w:t>
            </w:r>
          </w:p>
        </w:tc>
      </w:tr>
    </w:tbl>
    <w:p>
      <w:pPr>
        <w:spacing w:after="40"/>
      </w:pPr>
    </w:p>
    <w:p>
      <w:pPr>
        <w:keepNext w:val="0"/>
        <w:spacing w:after="80" w:line="288" w:lineRule="auto"/>
      </w:pPr>
      <w:r>
        <w:rPr>
          <w:rFonts w:ascii="Noto Sans CJK JP" w:hAnsi="Noto Sans CJK JP" w:eastAsia="Noto Sans CJK JP"/>
        </w:rPr>
        <w:t>推奨KPI：</w:t>
      </w:r>
    </w:p>
    <w:p>
      <w:pPr>
        <w:pStyle w:val="ListBullet"/>
        <w:spacing w:after="40" w:line="276" w:lineRule="auto"/>
      </w:pPr>
      <w:r>
        <w:rPr>
          <w:rFonts w:ascii="Noto Sans CJK JP" w:hAnsi="Noto Sans CJK JP" w:eastAsia="Noto Sans CJK JP"/>
        </w:rPr>
        <w:t>Critical Issue Recall：後から重要と判明した論点を、IC前に何%捕捉したか。</w:t>
      </w:r>
    </w:p>
    <w:p>
      <w:pPr>
        <w:pStyle w:val="ListBullet"/>
        <w:spacing w:after="40" w:line="276" w:lineRule="auto"/>
      </w:pPr>
      <w:r>
        <w:rPr>
          <w:rFonts w:ascii="Noto Sans CJK JP" w:hAnsi="Noto Sans CJK JP" w:eastAsia="Noto Sans CJK JP"/>
        </w:rPr>
        <w:t>Decision-Relevant Novel Evidence：baselineが取らず、実際に価格/条件/投資可否を動かしたEvidence数。</w:t>
      </w:r>
    </w:p>
    <w:p>
      <w:pPr>
        <w:pStyle w:val="ListBullet"/>
        <w:spacing w:after="40" w:line="276" w:lineRule="auto"/>
      </w:pPr>
      <w:r>
        <w:rPr>
          <w:rFonts w:ascii="Noto Sans CJK JP" w:hAnsi="Noto Sans CJK JP" w:eastAsia="Noto Sans CJK JP"/>
        </w:rPr>
        <w:t>False Confidence Rate：高confidenceだったが後で否定された重要claim比率。</w:t>
      </w:r>
    </w:p>
    <w:p>
      <w:pPr>
        <w:pStyle w:val="ListBullet"/>
        <w:spacing w:after="40" w:line="276" w:lineRule="auto"/>
      </w:pPr>
      <w:r>
        <w:rPr>
          <w:rFonts w:ascii="Noto Sans CJK JP" w:hAnsi="Noto Sans CJK JP" w:eastAsia="Noto Sans CJK JP"/>
        </w:rPr>
        <w:t>Calibration：予測confidence vs 実現（Brier/log score等、適用できる定量項目のみ）。</w:t>
      </w:r>
    </w:p>
    <w:p>
      <w:pPr>
        <w:pStyle w:val="ListBullet"/>
        <w:spacing w:after="40" w:line="276" w:lineRule="auto"/>
      </w:pPr>
      <w:r>
        <w:rPr>
          <w:rFonts w:ascii="Noto Sans CJK JP" w:hAnsi="Noto Sans CJK JP" w:eastAsia="Noto Sans CJK JP"/>
        </w:rPr>
        <w:t>Independent Evidence Ratio：重要claimの独立source数/見かけsource数。</w:t>
      </w:r>
    </w:p>
    <w:p>
      <w:pPr>
        <w:pStyle w:val="ListBullet"/>
        <w:spacing w:after="40" w:line="276" w:lineRule="auto"/>
      </w:pPr>
      <w:r>
        <w:rPr>
          <w:rFonts w:ascii="Noto Sans CJK JP" w:hAnsi="Noto Sans CJK JP" w:eastAsia="Noto Sans CJK JP"/>
        </w:rPr>
        <w:t>Research Efficiency：decision-relevant finding 1件あたりの人間時間/API費用。</w:t>
      </w:r>
    </w:p>
    <w:p>
      <w:pPr>
        <w:pStyle w:val="ListBullet"/>
        <w:spacing w:after="40" w:line="276" w:lineRule="auto"/>
      </w:pPr>
      <w:r>
        <w:rPr>
          <w:rFonts w:ascii="Noto Sans CJK JP" w:hAnsi="Noto Sans CJK JP" w:eastAsia="Noto Sans CJK JP"/>
        </w:rPr>
        <w:t>Unknown Integrity：取得不能情報を事実扱いせず、適切にUnknown/要追加DDとして残せた率。</w:t>
      </w:r>
    </w:p>
    <w:tbl>
      <w:tblPr>
        <w:tblW w:type="auto" w:w="0"/>
        <w:jc w:val="center"/>
        <w:tblLayout w:type="autofit"/>
        <w:tblLook w:firstColumn="1" w:firstRow="1" w:lastColumn="0" w:lastRow="0" w:noHBand="0" w:noVBand="1" w:val="04A0"/>
      </w:tblPr>
      <w:tblGrid>
        <w:gridCol w:w="9866"/>
      </w:tblGrid>
      <w:tr>
        <w:trPr>
          <w:cantSplit/>
          <w:tblHeader/>
        </w:trPr>
        <w:tc>
          <w:tcPr>
            <w:tcW w:type="dxa" w:w="9866"/>
            <w:tcMar>
              <w:top w:w="120" w:type="dxa"/>
              <w:start w:w="160" w:type="dxa"/>
              <w:bottom w:w="120" w:type="dxa"/>
              <w:end w:w="160" w:type="dxa"/>
            </w:tcMar>
            <w:shd w:fill="FDECEC"/>
          </w:tcPr>
          <w:p>
            <w:pPr>
              <w:spacing w:after="0" w:line="276" w:lineRule="auto"/>
            </w:pPr>
            <w:r>
              <w:rPr>
                <w:rFonts w:ascii="Noto Sans CJK JP" w:hAnsi="Noto Sans CJK JP" w:eastAsia="Noto Sans CJK JP"/>
                <w:b/>
                <w:color w:val="A03232"/>
                <w:sz w:val="21"/>
              </w:rPr>
              <w:t>Kill criterion</w:t>
              <w:br/>
            </w:r>
            <w:r>
              <w:rPr>
                <w:rFonts w:ascii="Noto Sans CJK JP" w:hAnsi="Noto Sans CJK JP" w:eastAsia="Noto Sans CJK JP"/>
                <w:sz w:val="19"/>
              </w:rPr>
              <w:t>PrismがDeep Research/現行DDと比べて「より長い文書」を出すだけで、Critical Issue Recall・Decision-Relevant Evidence・Calibrationのいずれも改善しないなら、Prismは中止する。</w:t>
            </w:r>
          </w:p>
        </w:tc>
      </w:tr>
    </w:tbl>
    <w:p>
      <w:pPr>
        <w:spacing w:after="20"/>
      </w:pPr>
    </w:p>
    <w:p>
      <w:pPr>
        <w:pStyle w:val="Heading1"/>
      </w:pPr>
      <w:r>
        <w:t>13. 実装ロードマップ：安く作るが、安いWrapperにはしない</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474"/>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6"/>
              </w:rPr>
              <w:t>段階</w:t>
            </w:r>
          </w:p>
        </w:tc>
        <w:tc>
          <w:tcPr>
            <w:tcW w:type="dxa" w:w="4649"/>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6"/>
              </w:rPr>
              <w:t>作るもの</w:t>
            </w:r>
          </w:p>
        </w:tc>
        <w:tc>
          <w:tcPr>
            <w:tcW w:type="dxa" w:w="3515"/>
            <w:shd w:fill="203A5F"/>
            <w:tcMar>
              <w:top w:w="80" w:type="dxa"/>
              <w:start w:w="90" w:type="dxa"/>
              <w:bottom w:w="80" w:type="dxa"/>
              <w:end w:w="90" w:type="dxa"/>
            </w:tcMar>
            <w:vAlign w:val="center"/>
          </w:tcPr>
          <w:p>
            <w:pPr>
              <w:jc w:val="center"/>
            </w:pPr>
            <w:r>
              <w:rPr>
                <w:rFonts w:ascii="Noto Sans CJK JP" w:hAnsi="Noto Sans CJK JP" w:eastAsia="Noto Sans CJK JP"/>
                <w:b/>
                <w:color w:val="FFFFFF"/>
                <w:sz w:val="16"/>
              </w:rPr>
              <w:t>作らないもの</w:t>
            </w:r>
          </w:p>
        </w:tc>
      </w:tr>
      <w:tr>
        <w:trPr>
          <w:cantSplit/>
        </w:trPr>
        <w:tc>
          <w:tcPr>
            <w:tcW w:type="dxa" w:w="1474"/>
            <w:tcMar>
              <w:top w:w="80" w:type="dxa"/>
              <w:start w:w="90" w:type="dxa"/>
              <w:bottom w:w="80" w:type="dxa"/>
              <w:end w:w="90" w:type="dxa"/>
            </w:tcMar>
            <w:vAlign w:val="top"/>
          </w:tcPr>
          <w:p>
            <w:pPr>
              <w:spacing w:after="0" w:line="264" w:lineRule="auto"/>
            </w:pPr>
            <w:r>
              <w:rPr>
                <w:rFonts w:ascii="Noto Sans CJK JP" w:hAnsi="Noto Sans CJK JP" w:eastAsia="Noto Sans CJK JP"/>
                <w:sz w:val="16"/>
              </w:rPr>
              <w:t>PoC 0</w:t>
            </w:r>
          </w:p>
        </w:tc>
        <w:tc>
          <w:tcPr>
            <w:tcW w:type="dxa" w:w="4649"/>
            <w:tcMar>
              <w:top w:w="80" w:type="dxa"/>
              <w:start w:w="90" w:type="dxa"/>
              <w:bottom w:w="80" w:type="dxa"/>
              <w:end w:w="90" w:type="dxa"/>
            </w:tcMar>
            <w:vAlign w:val="top"/>
          </w:tcPr>
          <w:p>
            <w:pPr>
              <w:spacing w:after="0" w:line="264" w:lineRule="auto"/>
            </w:pPr>
            <w:r>
              <w:rPr>
                <w:rFonts w:ascii="Noto Sans CJK JP" w:hAnsi="Noto Sans CJK JP" w:eastAsia="Noto Sans CJK JP"/>
                <w:sz w:val="16"/>
              </w:rPr>
              <w:t>Decision Compiler、LBO sensitivity、Epistemic Ledger、3–5 Research Action型、簡易priority</w:t>
            </w:r>
          </w:p>
        </w:tc>
        <w:tc>
          <w:tcPr>
            <w:tcW w:type="dxa" w:w="3515"/>
            <w:tcMar>
              <w:top w:w="80" w:type="dxa"/>
              <w:start w:w="90" w:type="dxa"/>
              <w:bottom w:w="80" w:type="dxa"/>
              <w:end w:w="90" w:type="dxa"/>
            </w:tcMar>
            <w:vAlign w:val="top"/>
          </w:tcPr>
          <w:p>
            <w:pPr>
              <w:spacing w:after="0" w:line="264" w:lineRule="auto"/>
            </w:pPr>
            <w:r>
              <w:rPr>
                <w:rFonts w:ascii="Noto Sans CJK JP" w:hAnsi="Noto Sans CJK JP" w:eastAsia="Noto Sans CJK JP"/>
                <w:sz w:val="16"/>
              </w:rPr>
              <w:t>独自検索エンジン、独自LLM、豪華UI</w:t>
            </w:r>
          </w:p>
        </w:tc>
      </w:tr>
      <w:tr>
        <w:trPr>
          <w:cantSplit/>
        </w:trPr>
        <w:tc>
          <w:tcPr>
            <w:tcW w:type="dxa" w:w="1474"/>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PoC 1</w:t>
            </w:r>
          </w:p>
        </w:tc>
        <w:tc>
          <w:tcPr>
            <w:tcW w:type="dxa" w:w="4649"/>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OUTER challenge lanes、DeepTRACE/CAMA型evidence checks、web↔VDR↔Python router</w:t>
            </w:r>
          </w:p>
        </w:tc>
        <w:tc>
          <w:tcPr>
            <w:tcW w:type="dxa" w:w="3515"/>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Marlin型tree search</w:t>
            </w:r>
          </w:p>
        </w:tc>
      </w:tr>
      <w:tr>
        <w:trPr>
          <w:cantSplit/>
        </w:trPr>
        <w:tc>
          <w:tcPr>
            <w:tcW w:type="dxa" w:w="1474"/>
            <w:tcMar>
              <w:top w:w="80" w:type="dxa"/>
              <w:start w:w="90" w:type="dxa"/>
              <w:bottom w:w="80" w:type="dxa"/>
              <w:end w:w="90" w:type="dxa"/>
            </w:tcMar>
            <w:vAlign w:val="top"/>
          </w:tcPr>
          <w:p>
            <w:pPr>
              <w:spacing w:after="0" w:line="264" w:lineRule="auto"/>
            </w:pPr>
            <w:r>
              <w:rPr>
                <w:rFonts w:ascii="Noto Sans CJK JP" w:hAnsi="Noto Sans CJK JP" w:eastAsia="Noto Sans CJK JP"/>
                <w:sz w:val="16"/>
              </w:rPr>
              <w:t>MVP</w:t>
            </w:r>
          </w:p>
        </w:tc>
        <w:tc>
          <w:tcPr>
            <w:tcW w:type="dxa" w:w="4649"/>
            <w:tcMar>
              <w:top w:w="80" w:type="dxa"/>
              <w:start w:w="90" w:type="dxa"/>
              <w:bottom w:w="80" w:type="dxa"/>
              <w:end w:w="90" w:type="dxa"/>
            </w:tcMar>
            <w:vAlign w:val="top"/>
          </w:tcPr>
          <w:p>
            <w:pPr>
              <w:spacing w:after="0" w:line="264" w:lineRule="auto"/>
            </w:pPr>
            <w:r>
              <w:rPr>
                <w:rFonts w:ascii="Noto Sans CJK JP" w:hAnsi="Noto Sans CJK JP" w:eastAsia="Noto Sans CJK JP"/>
                <w:sz w:val="16"/>
              </w:rPr>
              <w:t>Worker benchmark、retrievability calibration、expert/Mgmt request、stop rule</w:t>
            </w:r>
          </w:p>
        </w:tc>
        <w:tc>
          <w:tcPr>
            <w:tcW w:type="dxa" w:w="3515"/>
            <w:tcMar>
              <w:top w:w="80" w:type="dxa"/>
              <w:start w:w="90" w:type="dxa"/>
              <w:bottom w:w="80" w:type="dxa"/>
              <w:end w:w="90" w:type="dxa"/>
            </w:tcMar>
            <w:vAlign w:val="top"/>
          </w:tcPr>
          <w:p>
            <w:pPr>
              <w:spacing w:after="0" w:line="264" w:lineRule="auto"/>
            </w:pPr>
            <w:r>
              <w:rPr>
                <w:rFonts w:ascii="Noto Sans CJK JP" w:hAnsi="Noto Sans CJK JP" w:eastAsia="Noto Sans CJK JP"/>
                <w:sz w:val="16"/>
              </w:rPr>
              <w:t>全金融workflowの再実装</w:t>
            </w:r>
          </w:p>
        </w:tc>
      </w:tr>
      <w:tr>
        <w:trPr>
          <w:cantSplit/>
        </w:trPr>
        <w:tc>
          <w:tcPr>
            <w:tcW w:type="dxa" w:w="1474"/>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Production</w:t>
            </w:r>
          </w:p>
        </w:tc>
        <w:tc>
          <w:tcPr>
            <w:tcW w:type="dxa" w:w="4649"/>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SSO/権限/監査、deal history、outcome calibration、IC integration</w:t>
            </w:r>
          </w:p>
        </w:tc>
        <w:tc>
          <w:tcPr>
            <w:tcW w:type="dxa" w:w="3515"/>
            <w:tcMar>
              <w:top w:w="80" w:type="dxa"/>
              <w:start w:w="90" w:type="dxa"/>
              <w:bottom w:w="80" w:type="dxa"/>
              <w:end w:w="90" w:type="dxa"/>
            </w:tcMar>
            <w:vAlign w:val="top"/>
            <w:shd w:fill="F6F8FA"/>
          </w:tcPr>
          <w:p>
            <w:pPr>
              <w:spacing w:after="0" w:line="264" w:lineRule="auto"/>
            </w:pPr>
            <w:r>
              <w:rPr>
                <w:rFonts w:ascii="Noto Sans CJK JP" w:hAnsi="Noto Sans CJK JP" w:eastAsia="Noto Sans CJK JP"/>
                <w:sz w:val="16"/>
              </w:rPr>
              <w:t>commodity化した機能の内製維持</w:t>
            </w:r>
          </w:p>
        </w:tc>
      </w:tr>
    </w:tbl>
    <w:p>
      <w:pPr>
        <w:spacing w:after="40"/>
      </w:pPr>
    </w:p>
    <w:p>
      <w:pPr>
        <w:keepNext w:val="0"/>
        <w:spacing w:after="80" w:line="288" w:lineRule="auto"/>
      </w:pPr>
      <w:r>
        <w:rPr>
          <w:rFonts w:ascii="Noto Sans CJK JP" w:hAnsi="Noto Sans CJK JP" w:eastAsia="Noto Sans CJK JP"/>
        </w:rPr>
        <w:t>AI codingでソフトウェア自体は安く作れる。難しいのはコード量ではなく、(1) Decision state schema、(2) Research Action valueの校正、(3) evidence dependency/retrievabilityの評価、(4) closed-deal outcomeを使ったfeedback設計である。ここを仕様として固定すれば、実装はむしろAIに積極的に任せるべきである。</w:t>
      </w:r>
    </w:p>
    <w:p>
      <w:pPr>
        <w:pStyle w:val="Heading1"/>
      </w:pPr>
      <w:r>
        <w:t>14. 最終判定</w:t>
      </w:r>
    </w:p>
    <w:tbl>
      <w:tblPr>
        <w:tblW w:type="auto" w:w="0"/>
        <w:jc w:val="center"/>
        <w:tblLayout w:type="autofit"/>
        <w:tblLook w:firstColumn="1" w:firstRow="1" w:lastColumn="0" w:lastRow="0" w:noHBand="0" w:noVBand="1" w:val="04A0"/>
      </w:tblPr>
      <w:tblGrid>
        <w:gridCol w:w="9866"/>
      </w:tblGrid>
      <w:tr>
        <w:trPr>
          <w:cantSplit/>
          <w:tblHeader/>
        </w:trPr>
        <w:tc>
          <w:tcPr>
            <w:tcW w:type="dxa" w:w="9866"/>
            <w:tcMar>
              <w:top w:w="120" w:type="dxa"/>
              <w:start w:w="160" w:type="dxa"/>
              <w:bottom w:w="120" w:type="dxa"/>
              <w:end w:w="160" w:type="dxa"/>
            </w:tcMar>
            <w:shd w:fill="EDF6EE"/>
          </w:tcPr>
          <w:p>
            <w:pPr>
              <w:spacing w:after="0" w:line="276" w:lineRule="auto"/>
            </w:pPr>
            <w:r>
              <w:rPr>
                <w:rFonts w:ascii="Noto Sans CJK JP" w:hAnsi="Noto Sans CJK JP" w:eastAsia="Noto Sans CJK JP"/>
                <w:b/>
                <w:color w:val="376E46"/>
                <w:sz w:val="21"/>
              </w:rPr>
              <w:t>採用</w:t>
              <w:br/>
            </w:r>
            <w:r>
              <w:rPr>
                <w:rFonts w:ascii="Noto Sans CJK JP" w:hAnsi="Noto Sans CJK JP" w:eastAsia="Noto Sans CJK JP"/>
                <w:sz w:val="19"/>
              </w:rPr>
              <w:t>Integral Prism = Decision-Centric Meta-Research Control Plane。Researchを自分で全部やるのではなく、投資判断の状態を持ち、問題空間の欠落を独立Challengeし、複数のResearch/データ/人間/計算アクションの中から「次に買うべき情報」を選び、Evidenceを更新し、判断が安定するまで回す。</w:t>
            </w:r>
          </w:p>
        </w:tc>
      </w:tr>
    </w:tbl>
    <w:p>
      <w:pPr>
        <w:spacing w:after="20"/>
      </w:pPr>
    </w:p>
    <w:p>
      <w:pPr>
        <w:keepNext w:val="0"/>
        <w:spacing w:after="80" w:line="288" w:lineRule="auto"/>
      </w:pPr>
      <w:r>
        <w:rPr>
          <w:rFonts w:ascii="Noto Sans CJK JP" w:hAnsi="Noto Sans CJK JP" w:eastAsia="Noto Sans CJK JP"/>
        </w:rPr>
        <w:t>この案は「絶対に世界初」とは言わない。個々の研究要素は既存であり、学術的新規性は未証明である。一方、今回確認したMarlin、Deep Research、金融AIの公開情報に対しては、最適化対象・状態表現・停止条件が明確に異なる。特に、Research Workerの能力ではなく“Research computationの経済的配分”を投資判断へ直接つなげる点が設計の核である。</w:t>
      </w:r>
    </w:p>
    <w:p>
      <w:pPr>
        <w:keepNext w:val="0"/>
        <w:spacing w:after="80" w:line="288" w:lineRule="auto"/>
      </w:pPr>
      <w:r>
        <w:rPr>
          <w:rFonts w:ascii="Noto Sans CJK JP" w:hAnsi="Noto Sans CJK JP" w:eastAsia="Noto Sans CJK JP"/>
        </w:rPr>
        <w:t>製品としての本当のMoatはアルゴリズム名ではなく、案件を回すほど蓄積する「どのWorker/Source/Actionが、どの投資論点で、どれだけ判断を改善したか」という校正データと、投資判断モデルへの接続である。</w:t>
      </w:r>
    </w:p>
    <w:p>
      <w:pPr>
        <w:keepNext w:val="0"/>
        <w:spacing w:after="80" w:line="288" w:lineRule="auto"/>
      </w:pPr>
      <w:r>
        <w:rPr>
          <w:rFonts w:ascii="Noto Sans CJK JP" w:hAnsi="Noto Sans CJK JP" w:eastAsia="Noto Sans CJK JP"/>
          <w:b/>
        </w:rPr>
        <w:t>最後に残る問いは一つだけ：</w:t>
      </w:r>
      <w:r>
        <w:rPr>
          <w:rFonts w:ascii="Noto Sans CJK JP" w:hAnsi="Noto Sans CJK JP" w:eastAsia="Noto Sans CJK JP"/>
        </w:rPr>
        <w:t>この制御層が、baseline Deep Researchより“判断を変える重要Evidence”を安い総コストで多く見つけられるか。これは仕様書では証明できないため、12章のblinded benchmarkで実証してから本投資する。</w:t>
      </w:r>
    </w:p>
    <w:p>
      <w:r>
        <w:br w:type="page"/>
      </w:r>
    </w:p>
    <w:p>
      <w:pPr>
        <w:pStyle w:val="Heading1"/>
      </w:pPr>
      <w:r>
        <w:t>参考文献・一次情報</w:t>
      </w:r>
    </w:p>
    <w:p>
      <w:pPr>
        <w:spacing w:after="80"/>
        <w:ind w:left="113" w:hanging="113"/>
      </w:pPr>
      <w:r>
        <w:rPr>
          <w:rFonts w:ascii="Noto Sans CJK JP" w:hAnsi="Noto Sans CJK JP" w:eastAsia="Noto Sans CJK JP"/>
          <w:b/>
          <w:color w:val="1F3751"/>
          <w:sz w:val="16"/>
        </w:rPr>
        <w:t xml:space="preserve">[R1] </w:t>
      </w:r>
      <w:r>
        <w:rPr>
          <w:rFonts w:ascii="Noto Sans CJK JP" w:hAnsi="Noto Sans CJK JP" w:eastAsia="Noto Sans CJK JP"/>
          <w:sz w:val="16"/>
        </w:rPr>
        <w:t xml:space="preserve">Sakana AI, Marlin beta/release — AB-MCTSを用いた長期business research、wider/deeper、multi-model。 </w:t>
      </w:r>
      <w:hyperlink r:id="rId14">
        <w:r>
          <w:rPr>
            <w:color w:val="2F5496"/>
            <w:u w:val="single"/>
            <w:rFonts w:ascii="Noto Sans CJK JP" w:hAnsi="Noto Sans CJK JP" w:eastAsia="Noto Sans CJK JP"/>
          </w:rPr>
          <w:t>URL</w:t>
        </w:r>
      </w:hyperlink>
    </w:p>
    <w:p>
      <w:pPr>
        <w:spacing w:after="80"/>
        <w:ind w:left="113" w:hanging="113"/>
      </w:pPr>
      <w:r>
        <w:rPr>
          <w:rFonts w:ascii="Noto Sans CJK JP" w:hAnsi="Noto Sans CJK JP" w:eastAsia="Noto Sans CJK JP"/>
          <w:b/>
          <w:color w:val="1F3751"/>
          <w:sz w:val="16"/>
        </w:rPr>
        <w:t xml:space="preserve">[R2] </w:t>
      </w:r>
      <w:r>
        <w:rPr>
          <w:rFonts w:ascii="Noto Sans CJK JP" w:hAnsi="Noto Sans CJK JP" w:eastAsia="Noto Sans CJK JP"/>
          <w:sz w:val="16"/>
        </w:rPr>
        <w:t xml:space="preserve">Matsuo et al., “Wider or Deeper? Scaling LLM Inference-Time Compute with Adaptive Branching Tree Search,” arXiv:2503.04412. </w:t>
      </w:r>
      <w:hyperlink r:id="rId15">
        <w:r>
          <w:rPr>
            <w:color w:val="2F5496"/>
            <w:u w:val="single"/>
            <w:rFonts w:ascii="Noto Sans CJK JP" w:hAnsi="Noto Sans CJK JP" w:eastAsia="Noto Sans CJK JP"/>
          </w:rPr>
          <w:t>URL</w:t>
        </w:r>
      </w:hyperlink>
    </w:p>
    <w:p>
      <w:pPr>
        <w:spacing w:after="80"/>
        <w:ind w:left="113" w:hanging="113"/>
      </w:pPr>
      <w:r>
        <w:rPr>
          <w:rFonts w:ascii="Noto Sans CJK JP" w:hAnsi="Noto Sans CJK JP" w:eastAsia="Noto Sans CJK JP"/>
          <w:b/>
          <w:color w:val="1F3751"/>
          <w:sz w:val="16"/>
        </w:rPr>
        <w:t xml:space="preserve">[R3] </w:t>
      </w:r>
      <w:r>
        <w:rPr>
          <w:rFonts w:ascii="Noto Sans CJK JP" w:hAnsi="Noto Sans CJK JP" w:eastAsia="Noto Sans CJK JP"/>
          <w:sz w:val="16"/>
        </w:rPr>
        <w:t xml:space="preserve">OpenAI, “Introducing deep research” (2025; updated 2026 for MCP/apps/trusted sites). </w:t>
      </w:r>
      <w:hyperlink r:id="rId16">
        <w:r>
          <w:rPr>
            <w:color w:val="2F5496"/>
            <w:u w:val="single"/>
            <w:rFonts w:ascii="Noto Sans CJK JP" w:hAnsi="Noto Sans CJK JP" w:eastAsia="Noto Sans CJK JP"/>
          </w:rPr>
          <w:t>URL</w:t>
        </w:r>
      </w:hyperlink>
    </w:p>
    <w:p>
      <w:pPr>
        <w:spacing w:after="80"/>
        <w:ind w:left="113" w:hanging="113"/>
      </w:pPr>
      <w:r>
        <w:rPr>
          <w:rFonts w:ascii="Noto Sans CJK JP" w:hAnsi="Noto Sans CJK JP" w:eastAsia="Noto Sans CJK JP"/>
          <w:b/>
          <w:color w:val="1F3751"/>
          <w:sz w:val="16"/>
        </w:rPr>
        <w:t xml:space="preserve">[R4] </w:t>
      </w:r>
      <w:r>
        <w:rPr>
          <w:rFonts w:ascii="Noto Sans CJK JP" w:hAnsi="Noto Sans CJK JP" w:eastAsia="Noto Sans CJK JP"/>
          <w:sz w:val="16"/>
        </w:rPr>
        <w:t xml:space="preserve">Venkit et al., “DeepTRACE: Auditing Deep Research AI Systems for Tracking Reliability Across Citations and Evidence,” ICLR 2026. </w:t>
      </w:r>
      <w:hyperlink r:id="rId17">
        <w:r>
          <w:rPr>
            <w:color w:val="2F5496"/>
            <w:u w:val="single"/>
            <w:rFonts w:ascii="Noto Sans CJK JP" w:hAnsi="Noto Sans CJK JP" w:eastAsia="Noto Sans CJK JP"/>
          </w:rPr>
          <w:t>URL</w:t>
        </w:r>
      </w:hyperlink>
    </w:p>
    <w:p>
      <w:pPr>
        <w:spacing w:after="80"/>
        <w:ind w:left="113" w:hanging="113"/>
      </w:pPr>
      <w:r>
        <w:rPr>
          <w:rFonts w:ascii="Noto Sans CJK JP" w:hAnsi="Noto Sans CJK JP" w:eastAsia="Noto Sans CJK JP"/>
          <w:b/>
          <w:color w:val="1F3751"/>
          <w:sz w:val="16"/>
        </w:rPr>
        <w:t xml:space="preserve">[R5] </w:t>
      </w:r>
      <w:r>
        <w:rPr>
          <w:rFonts w:ascii="Noto Sans CJK JP" w:hAnsi="Noto Sans CJK JP" w:eastAsia="Noto Sans CJK JP"/>
          <w:sz w:val="16"/>
        </w:rPr>
        <w:t xml:space="preserve">Zhu et al., “Is Deep Research Reliable? Misleading Knowledge Induces False Conclusions,” arXiv:2607.20891. </w:t>
      </w:r>
      <w:hyperlink r:id="rId18">
        <w:r>
          <w:rPr>
            <w:color w:val="2F5496"/>
            <w:u w:val="single"/>
            <w:rFonts w:ascii="Noto Sans CJK JP" w:hAnsi="Noto Sans CJK JP" w:eastAsia="Noto Sans CJK JP"/>
          </w:rPr>
          <w:t>URL</w:t>
        </w:r>
      </w:hyperlink>
    </w:p>
    <w:p>
      <w:pPr>
        <w:spacing w:after="80"/>
        <w:ind w:left="113" w:hanging="113"/>
      </w:pPr>
      <w:r>
        <w:rPr>
          <w:rFonts w:ascii="Noto Sans CJK JP" w:hAnsi="Noto Sans CJK JP" w:eastAsia="Noto Sans CJK JP"/>
          <w:b/>
          <w:color w:val="1F3751"/>
          <w:sz w:val="16"/>
        </w:rPr>
        <w:t xml:space="preserve">[R6] </w:t>
      </w:r>
      <w:r>
        <w:rPr>
          <w:rFonts w:ascii="Noto Sans CJK JP" w:hAnsi="Noto Sans CJK JP" w:eastAsia="Noto Sans CJK JP"/>
          <w:sz w:val="16"/>
        </w:rPr>
        <w:t xml:space="preserve">Hussain et al., “Planner-Centric Reinforcement Learning for Deep Research with Structure-Aware Reward (DecomposeR),” arXiv:2605.30824. </w:t>
      </w:r>
      <w:hyperlink r:id="rId19">
        <w:r>
          <w:rPr>
            <w:color w:val="2F5496"/>
            <w:u w:val="single"/>
            <w:rFonts w:ascii="Noto Sans CJK JP" w:hAnsi="Noto Sans CJK JP" w:eastAsia="Noto Sans CJK JP"/>
          </w:rPr>
          <w:t>URL</w:t>
        </w:r>
      </w:hyperlink>
    </w:p>
    <w:p>
      <w:pPr>
        <w:spacing w:after="80"/>
        <w:ind w:left="113" w:hanging="113"/>
      </w:pPr>
      <w:r>
        <w:rPr>
          <w:rFonts w:ascii="Noto Sans CJK JP" w:hAnsi="Noto Sans CJK JP" w:eastAsia="Noto Sans CJK JP"/>
          <w:b/>
          <w:color w:val="1F3751"/>
          <w:sz w:val="16"/>
        </w:rPr>
        <w:t xml:space="preserve">[R7] </w:t>
      </w:r>
      <w:r>
        <w:rPr>
          <w:rFonts w:ascii="Noto Sans CJK JP" w:hAnsi="Noto Sans CJK JP" w:eastAsia="Noto Sans CJK JP"/>
          <w:sz w:val="16"/>
        </w:rPr>
        <w:t xml:space="preserve">Chen et al., “MindSearch: Mimicking Human Minds Elicits Deep AI Searcher,” arXiv:2407.20183. </w:t>
      </w:r>
      <w:hyperlink r:id="rId20">
        <w:r>
          <w:rPr>
            <w:color w:val="2F5496"/>
            <w:u w:val="single"/>
            <w:rFonts w:ascii="Noto Sans CJK JP" w:hAnsi="Noto Sans CJK JP" w:eastAsia="Noto Sans CJK JP"/>
          </w:rPr>
          <w:t>URL</w:t>
        </w:r>
      </w:hyperlink>
    </w:p>
    <w:p>
      <w:pPr>
        <w:spacing w:after="80"/>
        <w:ind w:left="113" w:hanging="113"/>
      </w:pPr>
      <w:r>
        <w:rPr>
          <w:rFonts w:ascii="Noto Sans CJK JP" w:hAnsi="Noto Sans CJK JP" w:eastAsia="Noto Sans CJK JP"/>
          <w:b/>
          <w:color w:val="1F3751"/>
          <w:sz w:val="16"/>
        </w:rPr>
        <w:t xml:space="preserve">[R8] </w:t>
      </w:r>
      <w:r>
        <w:rPr>
          <w:rFonts w:ascii="Noto Sans CJK JP" w:hAnsi="Noto Sans CJK JP" w:eastAsia="Noto Sans CJK JP"/>
          <w:sz w:val="16"/>
        </w:rPr>
        <w:t xml:space="preserve">Kausik, Swaminathan, Kallus, “The Context Gathering Decision Process: A POMDP Framework for Agentic Search,” arXiv:2605.07042. </w:t>
      </w:r>
      <w:hyperlink r:id="rId21">
        <w:r>
          <w:rPr>
            <w:color w:val="2F5496"/>
            <w:u w:val="single"/>
            <w:rFonts w:ascii="Noto Sans CJK JP" w:hAnsi="Noto Sans CJK JP" w:eastAsia="Noto Sans CJK JP"/>
          </w:rPr>
          <w:t>URL</w:t>
        </w:r>
      </w:hyperlink>
    </w:p>
    <w:p>
      <w:pPr>
        <w:spacing w:after="80"/>
        <w:ind w:left="113" w:hanging="113"/>
      </w:pPr>
      <w:r>
        <w:rPr>
          <w:rFonts w:ascii="Noto Sans CJK JP" w:hAnsi="Noto Sans CJK JP" w:eastAsia="Noto Sans CJK JP"/>
          <w:b/>
          <w:color w:val="1F3751"/>
          <w:sz w:val="16"/>
        </w:rPr>
        <w:t xml:space="preserve">[R9] </w:t>
      </w:r>
      <w:r>
        <w:rPr>
          <w:rFonts w:ascii="Noto Sans CJK JP" w:hAnsi="Noto Sans CJK JP" w:eastAsia="Noto Sans CJK JP"/>
          <w:sz w:val="16"/>
        </w:rPr>
        <w:t xml:space="preserve">RE-TRAC, structured cross-trajectory state/memory for agentic search, arXiv:2602.02486. </w:t>
      </w:r>
      <w:hyperlink r:id="rId22">
        <w:r>
          <w:rPr>
            <w:color w:val="2F5496"/>
            <w:u w:val="single"/>
            <w:rFonts w:ascii="Noto Sans CJK JP" w:hAnsi="Noto Sans CJK JP" w:eastAsia="Noto Sans CJK JP"/>
          </w:rPr>
          <w:t>URL</w:t>
        </w:r>
      </w:hyperlink>
    </w:p>
    <w:p>
      <w:pPr>
        <w:spacing w:after="80"/>
        <w:ind w:left="113" w:hanging="113"/>
      </w:pPr>
      <w:r>
        <w:rPr>
          <w:rFonts w:ascii="Noto Sans CJK JP" w:hAnsi="Noto Sans CJK JP" w:eastAsia="Noto Sans CJK JP"/>
          <w:b/>
          <w:color w:val="1F3751"/>
          <w:sz w:val="16"/>
        </w:rPr>
        <w:t xml:space="preserve">[R10] </w:t>
      </w:r>
      <w:r>
        <w:rPr>
          <w:rFonts w:ascii="Noto Sans CJK JP" w:hAnsi="Noto Sans CJK JP" w:eastAsia="Noto Sans CJK JP"/>
          <w:sz w:val="16"/>
        </w:rPr>
        <w:t xml:space="preserve">Chang et al., “Hypothesis-Conditioned Query Rewriting for Decision-Useful Retrieval,” arXiv:2603.19008. </w:t>
      </w:r>
      <w:hyperlink r:id="rId23">
        <w:r>
          <w:rPr>
            <w:color w:val="2F5496"/>
            <w:u w:val="single"/>
            <w:rFonts w:ascii="Noto Sans CJK JP" w:hAnsi="Noto Sans CJK JP" w:eastAsia="Noto Sans CJK JP"/>
          </w:rPr>
          <w:t>URL</w:t>
        </w:r>
      </w:hyperlink>
    </w:p>
    <w:p>
      <w:pPr>
        <w:spacing w:after="80"/>
        <w:ind w:left="113" w:hanging="113"/>
      </w:pPr>
      <w:r>
        <w:rPr>
          <w:rFonts w:ascii="Noto Sans CJK JP" w:hAnsi="Noto Sans CJK JP" w:eastAsia="Noto Sans CJK JP"/>
          <w:b/>
          <w:color w:val="1F3751"/>
          <w:sz w:val="16"/>
        </w:rPr>
        <w:t xml:space="preserve">[R11] </w:t>
      </w:r>
      <w:r>
        <w:rPr>
          <w:rFonts w:ascii="Noto Sans CJK JP" w:hAnsi="Noto Sans CJK JP" w:eastAsia="Noto Sans CJK JP"/>
          <w:sz w:val="16"/>
        </w:rPr>
        <w:t xml:space="preserve">Taghavi et al., “With Argus Eyes: Assessing Retrieval Gaps via Uncertainty Scoring to Detect and Remedy Retrieval Blind Spots,” arXiv:2602.09616. </w:t>
      </w:r>
      <w:hyperlink r:id="rId24">
        <w:r>
          <w:rPr>
            <w:color w:val="2F5496"/>
            <w:u w:val="single"/>
            <w:rFonts w:ascii="Noto Sans CJK JP" w:hAnsi="Noto Sans CJK JP" w:eastAsia="Noto Sans CJK JP"/>
          </w:rPr>
          <w:t>URL</w:t>
        </w:r>
      </w:hyperlink>
    </w:p>
    <w:p>
      <w:pPr>
        <w:spacing w:after="80"/>
        <w:ind w:left="113" w:hanging="113"/>
      </w:pPr>
      <w:r>
        <w:rPr>
          <w:rFonts w:ascii="Noto Sans CJK JP" w:hAnsi="Noto Sans CJK JP" w:eastAsia="Noto Sans CJK JP"/>
          <w:b/>
          <w:color w:val="1F3751"/>
          <w:sz w:val="16"/>
        </w:rPr>
        <w:t xml:space="preserve">[R12] </w:t>
      </w:r>
      <w:r>
        <w:rPr>
          <w:rFonts w:ascii="Noto Sans CJK JP" w:hAnsi="Noto Sans CJK JP" w:eastAsia="Noto Sans CJK JP"/>
          <w:sz w:val="16"/>
        </w:rPr>
        <w:t xml:space="preserve">Min et al., “When Absence Is Evidence: Evaluating Completeness-Sensitive Negative Reasoning in Large Language Models (CROWN-QA),” arXiv:2608.04591. </w:t>
      </w:r>
      <w:hyperlink r:id="rId25">
        <w:r>
          <w:rPr>
            <w:color w:val="2F5496"/>
            <w:u w:val="single"/>
            <w:rFonts w:ascii="Noto Sans CJK JP" w:hAnsi="Noto Sans CJK JP" w:eastAsia="Noto Sans CJK JP"/>
          </w:rPr>
          <w:t>URL</w:t>
        </w:r>
      </w:hyperlink>
    </w:p>
    <w:p>
      <w:pPr>
        <w:spacing w:after="80"/>
        <w:ind w:left="113" w:hanging="113"/>
      </w:pPr>
      <w:r>
        <w:rPr>
          <w:rFonts w:ascii="Noto Sans CJK JP" w:hAnsi="Noto Sans CJK JP" w:eastAsia="Noto Sans CJK JP"/>
          <w:b/>
          <w:color w:val="1F3751"/>
          <w:sz w:val="16"/>
        </w:rPr>
        <w:t xml:space="preserve">[R13] </w:t>
      </w:r>
      <w:r>
        <w:rPr>
          <w:rFonts w:ascii="Noto Sans CJK JP" w:hAnsi="Noto Sans CJK JP" w:eastAsia="Noto Sans CJK JP"/>
          <w:sz w:val="16"/>
        </w:rPr>
        <w:t xml:space="preserve">Lin et al., “Beyond Memory Majority: Latent-Source Reasoning for Multi-Agent Memory Arbitration (CAMA),” arXiv:2608.19701. </w:t>
      </w:r>
      <w:hyperlink r:id="rId26">
        <w:r>
          <w:rPr>
            <w:color w:val="2F5496"/>
            <w:u w:val="single"/>
            <w:rFonts w:ascii="Noto Sans CJK JP" w:hAnsi="Noto Sans CJK JP" w:eastAsia="Noto Sans CJK JP"/>
          </w:rPr>
          <w:t>URL</w:t>
        </w:r>
      </w:hyperlink>
    </w:p>
    <w:p>
      <w:pPr>
        <w:spacing w:after="80"/>
        <w:ind w:left="113" w:hanging="113"/>
      </w:pPr>
      <w:r>
        <w:rPr>
          <w:rFonts w:ascii="Noto Sans CJK JP" w:hAnsi="Noto Sans CJK JP" w:eastAsia="Noto Sans CJK JP"/>
          <w:b/>
          <w:color w:val="1F3751"/>
          <w:sz w:val="16"/>
        </w:rPr>
        <w:t xml:space="preserve">[R14] </w:t>
      </w:r>
      <w:r>
        <w:rPr>
          <w:rFonts w:ascii="Noto Sans CJK JP" w:hAnsi="Noto Sans CJK JP" w:eastAsia="Noto Sans CJK JP"/>
          <w:sz w:val="16"/>
        </w:rPr>
        <w:t xml:space="preserve">Huang et al., “Automated Hypothesis Validation with Agentic Sequential Falsifications (POPPER),” ICML 2025. </w:t>
      </w:r>
      <w:hyperlink r:id="rId27">
        <w:r>
          <w:rPr>
            <w:color w:val="2F5496"/>
            <w:u w:val="single"/>
            <w:rFonts w:ascii="Noto Sans CJK JP" w:hAnsi="Noto Sans CJK JP" w:eastAsia="Noto Sans CJK JP"/>
          </w:rPr>
          <w:t>URL</w:t>
        </w:r>
      </w:hyperlink>
    </w:p>
    <w:p>
      <w:pPr>
        <w:spacing w:after="80"/>
        <w:ind w:left="113" w:hanging="113"/>
      </w:pPr>
      <w:r>
        <w:rPr>
          <w:rFonts w:ascii="Noto Sans CJK JP" w:hAnsi="Noto Sans CJK JP" w:eastAsia="Noto Sans CJK JP"/>
          <w:b/>
          <w:color w:val="1F3751"/>
          <w:sz w:val="16"/>
        </w:rPr>
        <w:t xml:space="preserve">[R15] </w:t>
      </w:r>
      <w:r>
        <w:rPr>
          <w:rFonts w:ascii="Noto Sans CJK JP" w:hAnsi="Noto Sans CJK JP" w:eastAsia="Noto Sans CJK JP"/>
          <w:sz w:val="16"/>
        </w:rPr>
        <w:t xml:space="preserve">Chen et al., “Diversity Collapse in Multi-Agent LLM Systems: Structural Coupling and Collective Failure in Open-Ended Idea Generation,” Findings of ACL 2026. </w:t>
      </w:r>
      <w:hyperlink r:id="rId28">
        <w:r>
          <w:rPr>
            <w:color w:val="2F5496"/>
            <w:u w:val="single"/>
            <w:rFonts w:ascii="Noto Sans CJK JP" w:hAnsi="Noto Sans CJK JP" w:eastAsia="Noto Sans CJK JP"/>
          </w:rPr>
          <w:t>URL</w:t>
        </w:r>
      </w:hyperlink>
    </w:p>
    <w:p>
      <w:pPr>
        <w:spacing w:after="80"/>
        <w:ind w:left="113" w:hanging="113"/>
      </w:pPr>
      <w:r>
        <w:rPr>
          <w:rFonts w:ascii="Noto Sans CJK JP" w:hAnsi="Noto Sans CJK JP" w:eastAsia="Noto Sans CJK JP"/>
          <w:b/>
          <w:color w:val="1F3751"/>
          <w:sz w:val="16"/>
        </w:rPr>
        <w:t xml:space="preserve">[R16] </w:t>
      </w:r>
      <w:r>
        <w:rPr>
          <w:rFonts w:ascii="Noto Sans CJK JP" w:hAnsi="Noto Sans CJK JP" w:eastAsia="Noto Sans CJK JP"/>
          <w:sz w:val="16"/>
        </w:rPr>
        <w:t xml:space="preserve">Russell &amp; Wefald, “Principles of Metareasoning,” Artificial Intelligence / limited rationality work. </w:t>
      </w:r>
      <w:hyperlink r:id="rId29">
        <w:r>
          <w:rPr>
            <w:color w:val="2F5496"/>
            <w:u w:val="single"/>
            <w:rFonts w:ascii="Noto Sans CJK JP" w:hAnsi="Noto Sans CJK JP" w:eastAsia="Noto Sans CJK JP"/>
          </w:rPr>
          <w:t>URL</w:t>
        </w:r>
      </w:hyperlink>
    </w:p>
    <w:p>
      <w:pPr>
        <w:spacing w:after="80"/>
        <w:ind w:left="113" w:hanging="113"/>
      </w:pPr>
      <w:r>
        <w:rPr>
          <w:rFonts w:ascii="Noto Sans CJK JP" w:hAnsi="Noto Sans CJK JP" w:eastAsia="Noto Sans CJK JP"/>
          <w:b/>
          <w:color w:val="1F3751"/>
          <w:sz w:val="16"/>
        </w:rPr>
        <w:t xml:space="preserve">[R17] </w:t>
      </w:r>
      <w:r>
        <w:rPr>
          <w:rFonts w:ascii="Noto Sans CJK JP" w:hAnsi="Noto Sans CJK JP" w:eastAsia="Noto Sans CJK JP"/>
          <w:sz w:val="16"/>
        </w:rPr>
        <w:t xml:space="preserve">Miller, “The Value of Sequential Information,” Management Science 22(1), 1975. </w:t>
      </w:r>
      <w:hyperlink r:id="rId30">
        <w:r>
          <w:rPr>
            <w:color w:val="2F5496"/>
            <w:u w:val="single"/>
            <w:rFonts w:ascii="Noto Sans CJK JP" w:hAnsi="Noto Sans CJK JP" w:eastAsia="Noto Sans CJK JP"/>
          </w:rPr>
          <w:t>URL</w:t>
        </w:r>
      </w:hyperlink>
    </w:p>
    <w:p>
      <w:pPr>
        <w:spacing w:after="80"/>
        <w:ind w:left="113" w:hanging="113"/>
      </w:pPr>
      <w:r>
        <w:rPr>
          <w:rFonts w:ascii="Noto Sans CJK JP" w:hAnsi="Noto Sans CJK JP" w:eastAsia="Noto Sans CJK JP"/>
          <w:b/>
          <w:color w:val="1F3751"/>
          <w:sz w:val="16"/>
        </w:rPr>
        <w:t xml:space="preserve">[R18] </w:t>
      </w:r>
      <w:r>
        <w:rPr>
          <w:rFonts w:ascii="Noto Sans CJK JP" w:hAnsi="Noto Sans CJK JP" w:eastAsia="Noto Sans CJK JP"/>
          <w:sz w:val="16"/>
        </w:rPr>
        <w:t xml:space="preserve">Fang et al., “Inference-Time Budget Control for LLM Search Agents,” arXiv:2605.05701. </w:t>
      </w:r>
      <w:hyperlink r:id="rId31">
        <w:r>
          <w:rPr>
            <w:color w:val="2F5496"/>
            <w:u w:val="single"/>
            <w:rFonts w:ascii="Noto Sans CJK JP" w:hAnsi="Noto Sans CJK JP" w:eastAsia="Noto Sans CJK JP"/>
          </w:rPr>
          <w:t>URL</w:t>
        </w:r>
      </w:hyperlink>
    </w:p>
    <w:p>
      <w:pPr>
        <w:spacing w:after="80"/>
        <w:ind w:left="113" w:hanging="113"/>
      </w:pPr>
      <w:r>
        <w:rPr>
          <w:rFonts w:ascii="Noto Sans CJK JP" w:hAnsi="Noto Sans CJK JP" w:eastAsia="Noto Sans CJK JP"/>
          <w:b/>
          <w:color w:val="1F3751"/>
          <w:sz w:val="16"/>
        </w:rPr>
        <w:t xml:space="preserve">[R19] </w:t>
      </w:r>
      <w:r>
        <w:rPr>
          <w:rFonts w:ascii="Noto Sans CJK JP" w:hAnsi="Noto Sans CJK JP" w:eastAsia="Noto Sans CJK JP"/>
          <w:sz w:val="16"/>
        </w:rPr>
        <w:t xml:space="preserve">Lovallo, Clarke, Camerer, “Robust analogizing and the outside view: two empirical tests of case-based decision making,” Strategic Management Journal 33(5), 2012. First test uses private-equity investment decisions. </w:t>
      </w:r>
      <w:hyperlink r:id="rId32">
        <w:r>
          <w:rPr>
            <w:color w:val="2F5496"/>
            <w:u w:val="single"/>
            <w:rFonts w:ascii="Noto Sans CJK JP" w:hAnsi="Noto Sans CJK JP" w:eastAsia="Noto Sans CJK JP"/>
          </w:rPr>
          <w:t>URL</w:t>
        </w:r>
      </w:hyperlink>
    </w:p>
    <w:p>
      <w:pPr>
        <w:spacing w:after="80"/>
        <w:ind w:left="113" w:hanging="113"/>
      </w:pPr>
      <w:r>
        <w:rPr>
          <w:rFonts w:ascii="Noto Sans CJK JP" w:hAnsi="Noto Sans CJK JP" w:eastAsia="Noto Sans CJK JP"/>
          <w:b/>
          <w:color w:val="1F3751"/>
          <w:sz w:val="16"/>
        </w:rPr>
        <w:t xml:space="preserve">[R20] </w:t>
      </w:r>
      <w:r>
        <w:rPr>
          <w:rFonts w:ascii="Noto Sans CJK JP" w:hAnsi="Noto Sans CJK JP" w:eastAsia="Noto Sans CJK JP"/>
          <w:sz w:val="16"/>
        </w:rPr>
        <w:t xml:space="preserve">Dong et al., “Value of Information: A Framework for Human-Agent Communication,” ACL 2026. </w:t>
      </w:r>
      <w:hyperlink r:id="rId33">
        <w:r>
          <w:rPr>
            <w:color w:val="2F5496"/>
            <w:u w:val="single"/>
            <w:rFonts w:ascii="Noto Sans CJK JP" w:hAnsi="Noto Sans CJK JP" w:eastAsia="Noto Sans CJK JP"/>
          </w:rPr>
          <w:t>URL</w:t>
        </w:r>
      </w:hyperlink>
    </w:p>
    <w:p>
      <w:pPr>
        <w:spacing w:after="80"/>
        <w:ind w:left="113" w:hanging="113"/>
      </w:pPr>
      <w:r>
        <w:rPr>
          <w:rFonts w:ascii="Noto Sans CJK JP" w:hAnsi="Noto Sans CJK JP" w:eastAsia="Noto Sans CJK JP"/>
          <w:b/>
          <w:color w:val="1F3751"/>
          <w:sz w:val="16"/>
        </w:rPr>
        <w:t xml:space="preserve">[R21] </w:t>
      </w:r>
      <w:r>
        <w:rPr>
          <w:rFonts w:ascii="Noto Sans CJK JP" w:hAnsi="Noto Sans CJK JP" w:eastAsia="Noto Sans CJK JP"/>
          <w:sz w:val="16"/>
        </w:rPr>
        <w:t xml:space="preserve">AlphaSense, Private Equity product page — Deep Research, VDR, Excel/LBO, IC memo and assumption pressure-testing. </w:t>
      </w:r>
      <w:hyperlink r:id="rId34">
        <w:r>
          <w:rPr>
            <w:color w:val="2F5496"/>
            <w:u w:val="single"/>
            <w:rFonts w:ascii="Noto Sans CJK JP" w:hAnsi="Noto Sans CJK JP" w:eastAsia="Noto Sans CJK JP"/>
          </w:rPr>
          <w:t>URL</w:t>
        </w:r>
      </w:hyperlink>
    </w:p>
    <w:p>
      <w:pPr>
        <w:spacing w:after="80"/>
        <w:ind w:left="113" w:hanging="113"/>
      </w:pPr>
      <w:r>
        <w:rPr>
          <w:rFonts w:ascii="Noto Sans CJK JP" w:hAnsi="Noto Sans CJK JP" w:eastAsia="Noto Sans CJK JP"/>
          <w:b/>
          <w:color w:val="1F3751"/>
          <w:sz w:val="16"/>
        </w:rPr>
        <w:t xml:space="preserve">[R22] </w:t>
      </w:r>
      <w:r>
        <w:rPr>
          <w:rFonts w:ascii="Noto Sans CJK JP" w:hAnsi="Noto Sans CJK JP" w:eastAsia="Noto Sans CJK JP"/>
          <w:sz w:val="16"/>
        </w:rPr>
        <w:t xml:space="preserve">AlphaSense, Generative AI for Investment Research — Due Diligence Workspace, management-claim validation, SuperAnalyst. </w:t>
      </w:r>
      <w:hyperlink r:id="rId35">
        <w:r>
          <w:rPr>
            <w:color w:val="2F5496"/>
            <w:u w:val="single"/>
            <w:rFonts w:ascii="Noto Sans CJK JP" w:hAnsi="Noto Sans CJK JP" w:eastAsia="Noto Sans CJK JP"/>
          </w:rPr>
          <w:t>URL</w:t>
        </w:r>
      </w:hyperlink>
    </w:p>
    <w:p>
      <w:pPr>
        <w:spacing w:after="80"/>
        <w:ind w:left="113" w:hanging="113"/>
      </w:pPr>
      <w:r>
        <w:rPr>
          <w:rFonts w:ascii="Noto Sans CJK JP" w:hAnsi="Noto Sans CJK JP" w:eastAsia="Noto Sans CJK JP"/>
          <w:b/>
          <w:color w:val="1F3751"/>
          <w:sz w:val="16"/>
        </w:rPr>
        <w:t xml:space="preserve">[R23] </w:t>
      </w:r>
      <w:r>
        <w:rPr>
          <w:rFonts w:ascii="Noto Sans CJK JP" w:hAnsi="Noto Sans CJK JP" w:eastAsia="Noto Sans CJK JP"/>
          <w:sz w:val="16"/>
        </w:rPr>
        <w:t xml:space="preserve">Blueflame AI, Amp — finance-native multi-model agent across files, VDR, models and IC workflows. </w:t>
      </w:r>
      <w:hyperlink r:id="rId36">
        <w:r>
          <w:rPr>
            <w:color w:val="2F5496"/>
            <w:u w:val="single"/>
            <w:rFonts w:ascii="Noto Sans CJK JP" w:hAnsi="Noto Sans CJK JP" w:eastAsia="Noto Sans CJK JP"/>
          </w:rPr>
          <w:t>URL</w:t>
        </w:r>
      </w:hyperlink>
    </w:p>
    <w:p>
      <w:pPr>
        <w:spacing w:after="80"/>
        <w:ind w:left="113" w:hanging="113"/>
      </w:pPr>
      <w:r>
        <w:rPr>
          <w:rFonts w:ascii="Noto Sans CJK JP" w:hAnsi="Noto Sans CJK JP" w:eastAsia="Noto Sans CJK JP"/>
          <w:b/>
          <w:color w:val="1F3751"/>
          <w:sz w:val="16"/>
        </w:rPr>
        <w:t xml:space="preserve">[R24] </w:t>
      </w:r>
      <w:r>
        <w:rPr>
          <w:rFonts w:ascii="Noto Sans CJK JP" w:hAnsi="Noto Sans CJK JP" w:eastAsia="Noto Sans CJK JP"/>
          <w:sz w:val="16"/>
        </w:rPr>
        <w:t xml:space="preserve">Blueflame AI, Private Equity solution. </w:t>
      </w:r>
      <w:hyperlink r:id="rId37">
        <w:r>
          <w:rPr>
            <w:color w:val="2F5496"/>
            <w:u w:val="single"/>
            <w:rFonts w:ascii="Noto Sans CJK JP" w:hAnsi="Noto Sans CJK JP" w:eastAsia="Noto Sans CJK JP"/>
          </w:rPr>
          <w:t>URL</w:t>
        </w:r>
      </w:hyperlink>
    </w:p>
    <w:p>
      <w:pPr>
        <w:spacing w:after="80"/>
        <w:ind w:left="113" w:hanging="113"/>
      </w:pPr>
      <w:r>
        <w:rPr>
          <w:rFonts w:ascii="Noto Sans CJK JP" w:hAnsi="Noto Sans CJK JP" w:eastAsia="Noto Sans CJK JP"/>
          <w:b/>
          <w:color w:val="1F3751"/>
          <w:sz w:val="16"/>
        </w:rPr>
        <w:t xml:space="preserve">[R25] </w:t>
      </w:r>
      <w:r>
        <w:rPr>
          <w:rFonts w:ascii="Noto Sans CJK JP" w:hAnsi="Noto Sans CJK JP" w:eastAsia="Noto Sans CJK JP"/>
          <w:sz w:val="16"/>
        </w:rPr>
        <w:t xml:space="preserve">Rogo, finance AI / Felix customer example showing finance workflows and firm integrations. </w:t>
      </w:r>
      <w:hyperlink r:id="rId38">
        <w:r>
          <w:rPr>
            <w:color w:val="2F5496"/>
            <w:u w:val="single"/>
            <w:rFonts w:ascii="Noto Sans CJK JP" w:hAnsi="Noto Sans CJK JP" w:eastAsia="Noto Sans CJK JP"/>
          </w:rPr>
          <w:t>URL</w:t>
        </w:r>
      </w:hyperlink>
    </w:p>
    <w:p>
      <w:pPr>
        <w:keepNext w:val="0"/>
        <w:spacing w:after="80" w:line="288" w:lineRule="auto"/>
      </w:pPr>
      <w:r>
        <w:rPr>
          <w:rFonts w:ascii="Noto Sans CJK JP" w:hAnsi="Noto Sans CJK JP" w:eastAsia="Noto Sans CJK JP"/>
          <w:color w:val="5A646E"/>
          <w:sz w:val="16"/>
        </w:rPr>
        <w:t>調査範囲の限界：公開Web/論文/製品公開ページで確認できる機能を比較した。Sakana、OpenAI、AlphaSense、Blueflame、Rogo等の非公開内部アルゴリズムは確認できないため、「公開情報上未確認」は「存在しない」を意味しない。特許FTO、学術的新規性、商標等は別途専門調査が必要。</w:t>
      </w:r>
    </w:p>
    <w:sectPr w:rsidR="00FC693F" w:rsidRPr="0006063C" w:rsidSect="00034616">
      <w:headerReference w:type="default" r:id="rId9"/>
      <w:footerReference w:type="default" r:id="rId10"/>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color w:val="5A646E"/>
        <w:sz w:val="14"/>
      </w:rPr>
      <w:t>2026-08-22  |  公開情報・学術研究に基づく設計評価（学術的新規性・FTOを保証するものではない）</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color w:val="5A646E"/>
        <w:sz w:val="15"/>
      </w:rPr>
      <w:t>INTEGRAL PRISM  |  FINAL DESIGN ASSESSMENT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Noto Sans CJK JP" w:hAnsi="Noto Sans CJK JP" w:eastAsia="Noto Sans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CJK JP" w:hAnsi="Noto Sans CJK JP" w:eastAsia="Noto Sans CJK JP"/>
      <w:b/>
      <w:bCs/>
      <w:color w:val="1F3751"/>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Noto Sans CJK JP" w:hAnsi="Noto Sans CJK JP" w:eastAsia="Noto Sans CJK JP"/>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Noto Sans CJK JP" w:hAnsi="Noto Sans CJK JP" w:eastAsia="Noto Sans CJK JP"/>
      <w:b/>
      <w:bCs/>
      <w:color w:val="2E748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Noto Sans CJK JP" w:hAnsi="Noto Sans CJK JP" w:eastAsia="Noto Sans CJK JP"/>
      <w:b/>
      <w:color w:val="1F375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8"/>
    </w:rPr>
  </w:style>
  <w:style w:type="paragraph" w:styleId="ListBullet2">
    <w:name w:val="List Bullet 2"/>
    <w:basedOn w:val="Normal"/>
    <w:uiPriority w:val="99"/>
    <w:unhideWhenUsed/>
    <w:rsid w:val="00326F90"/>
    <w:pPr>
      <w:numPr>
        <w:numId w:val="2"/>
      </w:numPr>
      <w:contextualSpacing/>
    </w:pPr>
    <w:rPr>
      <w:rFonts w:ascii="Noto Sans CJK JP" w:hAnsi="Noto Sans CJK JP" w:eastAsia="Noto Sans CJK JP"/>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JP" w:hAnsi="Noto Sans CJK JP" w:eastAsia="Noto Sans CJK JP"/>
      <w:sz w:val="18"/>
    </w:rPr>
  </w:style>
  <w:style w:type="paragraph" w:styleId="ListNumber2">
    <w:name w:val="List Number 2"/>
    <w:basedOn w:val="Normal"/>
    <w:uiPriority w:val="99"/>
    <w:unhideWhenUsed/>
    <w:rsid w:val="0029639D"/>
    <w:pPr>
      <w:numPr>
        <w:numId w:val="6"/>
      </w:numPr>
      <w:contextualSpacing/>
    </w:pPr>
    <w:rPr>
      <w:rFonts w:ascii="Noto Sans CJK JP" w:hAnsi="Noto Sans CJK JP" w:eastAsia="Noto Sans CJK JP"/>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sakana.ai/marlin-beta/" TargetMode="External"/><Relationship Id="rId15" Type="http://schemas.openxmlformats.org/officeDocument/2006/relationships/hyperlink" Target="https://arxiv.org/abs/2503.04412" TargetMode="External"/><Relationship Id="rId16" Type="http://schemas.openxmlformats.org/officeDocument/2006/relationships/hyperlink" Target="https://openai.com/index/introducing-deep-research/" TargetMode="External"/><Relationship Id="rId17" Type="http://schemas.openxmlformats.org/officeDocument/2006/relationships/hyperlink" Target="https://proceedings.iclr.cc/paper_files/paper/2026/hash/ad08767706825033b99122332293033d-Abstract-Conference.html" TargetMode="External"/><Relationship Id="rId18" Type="http://schemas.openxmlformats.org/officeDocument/2006/relationships/hyperlink" Target="https://arxiv.org/abs/2607.20891" TargetMode="External"/><Relationship Id="rId19" Type="http://schemas.openxmlformats.org/officeDocument/2006/relationships/hyperlink" Target="https://arxiv.org/abs/2605.30824" TargetMode="External"/><Relationship Id="rId20" Type="http://schemas.openxmlformats.org/officeDocument/2006/relationships/hyperlink" Target="https://arxiv.org/abs/2407.20183" TargetMode="External"/><Relationship Id="rId21" Type="http://schemas.openxmlformats.org/officeDocument/2006/relationships/hyperlink" Target="https://arxiv.org/abs/2605.07042" TargetMode="External"/><Relationship Id="rId22" Type="http://schemas.openxmlformats.org/officeDocument/2006/relationships/hyperlink" Target="https://arxiv.org/abs/2602.02486" TargetMode="External"/><Relationship Id="rId23" Type="http://schemas.openxmlformats.org/officeDocument/2006/relationships/hyperlink" Target="https://arxiv.org/abs/2603.19008" TargetMode="External"/><Relationship Id="rId24" Type="http://schemas.openxmlformats.org/officeDocument/2006/relationships/hyperlink" Target="https://arxiv.org/abs/2602.09616" TargetMode="External"/><Relationship Id="rId25" Type="http://schemas.openxmlformats.org/officeDocument/2006/relationships/hyperlink" Target="https://arxiv.org/abs/2608.04591" TargetMode="External"/><Relationship Id="rId26" Type="http://schemas.openxmlformats.org/officeDocument/2006/relationships/hyperlink" Target="https://arxiv.org/abs/2608.19701" TargetMode="External"/><Relationship Id="rId27" Type="http://schemas.openxmlformats.org/officeDocument/2006/relationships/hyperlink" Target="https://www-cs.stanford.edu/people/jure/pubs/auto-hypothesis-validation-icml25.pdf" TargetMode="External"/><Relationship Id="rId28" Type="http://schemas.openxmlformats.org/officeDocument/2006/relationships/hyperlink" Target="https://arxiv.org/abs/2604.18005" TargetMode="External"/><Relationship Id="rId29" Type="http://schemas.openxmlformats.org/officeDocument/2006/relationships/hyperlink" Target="https://iiif.library.cmu.edu/file/Newell_box00014_fld01011_doc0001/Newell_box00014_fld01011_doc0001.pdf" TargetMode="External"/><Relationship Id="rId30" Type="http://schemas.openxmlformats.org/officeDocument/2006/relationships/hyperlink" Target="https://doi.org/10.1287/mnsc.22.1.1" TargetMode="External"/><Relationship Id="rId31" Type="http://schemas.openxmlformats.org/officeDocument/2006/relationships/hyperlink" Target="https://arxiv.org/abs/2605.05701" TargetMode="External"/><Relationship Id="rId32" Type="http://schemas.openxmlformats.org/officeDocument/2006/relationships/hyperlink" Target="https://doi.org/10.1002/smj.962" TargetMode="External"/><Relationship Id="rId33" Type="http://schemas.openxmlformats.org/officeDocument/2006/relationships/hyperlink" Target="https://aclanthology.org/2026.acl-long.1987/" TargetMode="External"/><Relationship Id="rId34" Type="http://schemas.openxmlformats.org/officeDocument/2006/relationships/hyperlink" Target="https://www.alpha-sense.com/solutions/financial-services/private-equity/" TargetMode="External"/><Relationship Id="rId35" Type="http://schemas.openxmlformats.org/officeDocument/2006/relationships/hyperlink" Target="https://www.alpha-sense.com/solutions/generative-ai-investment-research/" TargetMode="External"/><Relationship Id="rId36" Type="http://schemas.openxmlformats.org/officeDocument/2006/relationships/hyperlink" Target="https://blueflame.ai/amp" TargetMode="External"/><Relationship Id="rId37" Type="http://schemas.openxmlformats.org/officeDocument/2006/relationships/hyperlink" Target="https://blueflame.ai/solutions/private-equity" TargetMode="External"/><Relationship Id="rId38" Type="http://schemas.openxmlformats.org/officeDocument/2006/relationships/hyperlink" Target="https://rogo.ai/customers/harbo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Integral Prism 最終設計評価 v1.0</dc:title>
  <dc:subject>Decision-Centric Meta-Research Control Plane</dc:subject>
  <dc:creator>OpenAI</dc:creator>
  <cp:keywords/>
  <dc:description>Research-backed architecture assessment as of 2026-08-22.</dc:description>
  <cp:lastModifiedBy/>
  <cp:revision>1</cp:revision>
  <dcterms:created xsi:type="dcterms:W3CDTF">2013-12-23T23:15:00Z</dcterms:created>
  <dcterms:modified xsi:type="dcterms:W3CDTF">2013-12-23T23:15:00Z</dcterms:modified>
  <cp:category/>
</cp:coreProperties>
</file>