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290B68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Nvidia&amp;华讯-离线会议翻译平台PRD</w:t>
      </w:r>
    </w:p>
    <w:p w14:paraId="4E3C131C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一、资源排期</w:t>
      </w:r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790"/>
        <w:gridCol w:w="2355"/>
      </w:tblGrid>
      <w:tr w14:paraId="5CA19F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5F7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岗位</w:t>
            </w:r>
          </w:p>
        </w:tc>
        <w:tc>
          <w:tcPr>
            <w:tcW w:w="2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757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工程师</w:t>
            </w:r>
          </w:p>
        </w:tc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627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时间</w:t>
            </w:r>
          </w:p>
        </w:tc>
      </w:tr>
      <w:tr w14:paraId="4E4127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C90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</w:t>
            </w:r>
          </w:p>
        </w:tc>
        <w:tc>
          <w:tcPr>
            <w:tcW w:w="2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989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万家成</w:t>
            </w:r>
          </w:p>
        </w:tc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431BA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2026.6.4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-</w:t>
            </w:r>
          </w:p>
        </w:tc>
      </w:tr>
      <w:tr w14:paraId="675F22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3E6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</w:t>
            </w:r>
          </w:p>
        </w:tc>
        <w:tc>
          <w:tcPr>
            <w:tcW w:w="2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A2F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吴佳帅、姜陈斐、卢铭</w:t>
            </w:r>
          </w:p>
        </w:tc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E0D38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2026.6.4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-</w:t>
            </w:r>
          </w:p>
        </w:tc>
      </w:tr>
      <w:tr w14:paraId="42419E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F41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</w:t>
            </w:r>
          </w:p>
        </w:tc>
        <w:tc>
          <w:tcPr>
            <w:tcW w:w="2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259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郝钰祺</w:t>
            </w:r>
          </w:p>
        </w:tc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66358">
            <w:pPr>
              <w:spacing w:before="120" w:after="120" w:line="288" w:lineRule="auto"/>
              <w:ind w:left="0"/>
              <w:jc w:val="left"/>
            </w:pPr>
          </w:p>
        </w:tc>
      </w:tr>
      <w:tr w14:paraId="091060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CB3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</w:t>
            </w:r>
          </w:p>
        </w:tc>
        <w:tc>
          <w:tcPr>
            <w:tcW w:w="27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D33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吴佳帅、姜陈斐</w:t>
            </w:r>
          </w:p>
        </w:tc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2007F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3A7DB968">
      <w:pPr>
        <w:spacing w:before="120" w:after="120" w:line="288" w:lineRule="auto"/>
        <w:ind w:left="0"/>
        <w:jc w:val="left"/>
      </w:pPr>
      <w:bookmarkStart w:id="16" w:name="_GoBack"/>
      <w:bookmarkEnd w:id="16"/>
    </w:p>
    <w:p w14:paraId="57C19AB8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二、里程碑</w:t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55"/>
        <w:gridCol w:w="2550"/>
        <w:gridCol w:w="1571"/>
        <w:gridCol w:w="1609"/>
        <w:gridCol w:w="1237"/>
      </w:tblGrid>
      <w:tr w14:paraId="4C55D4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E7E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</w:t>
            </w: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F78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核心能力</w:t>
            </w:r>
          </w:p>
        </w:tc>
        <w:tc>
          <w:tcPr>
            <w:tcW w:w="15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D4E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预估工作量</w:t>
            </w:r>
          </w:p>
        </w:tc>
        <w:tc>
          <w:tcPr>
            <w:tcW w:w="16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AC7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完成时间</w:t>
            </w:r>
          </w:p>
        </w:tc>
        <w:tc>
          <w:tcPr>
            <w:tcW w:w="12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1E9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</w:t>
            </w:r>
          </w:p>
        </w:tc>
      </w:tr>
      <w:tr w14:paraId="589AED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598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9BC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需求分析和验证</w:t>
            </w:r>
          </w:p>
        </w:tc>
        <w:tc>
          <w:tcPr>
            <w:tcW w:w="15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6F9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B97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2026.6.9</w:t>
            </w:r>
          </w:p>
        </w:tc>
        <w:tc>
          <w:tcPr>
            <w:tcW w:w="12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052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</w:t>
            </w:r>
          </w:p>
        </w:tc>
      </w:tr>
      <w:tr w14:paraId="3CA25D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87F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V2.0</w:t>
            </w: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978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转录翻译模块适配</w:t>
            </w:r>
          </w:p>
        </w:tc>
        <w:tc>
          <w:tcPr>
            <w:tcW w:w="15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BE62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17E03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2026.7.1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前</w:t>
            </w:r>
          </w:p>
        </w:tc>
        <w:tc>
          <w:tcPr>
            <w:tcW w:w="12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A57B5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进行中</w:t>
            </w:r>
          </w:p>
        </w:tc>
      </w:tr>
      <w:tr w14:paraId="389276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5BB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V3.0</w:t>
            </w: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9CD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RAG 知识库构建</w:t>
            </w:r>
          </w:p>
        </w:tc>
        <w:tc>
          <w:tcPr>
            <w:tcW w:w="15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D5C0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5E4C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21E83">
            <w:pPr>
              <w:spacing w:before="120" w:after="120" w:line="288" w:lineRule="auto"/>
              <w:ind w:left="0"/>
              <w:jc w:val="left"/>
            </w:pPr>
          </w:p>
        </w:tc>
      </w:tr>
      <w:tr w14:paraId="3E8D19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61E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V4.0</w:t>
            </w: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79D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会议纪要增强</w:t>
            </w:r>
          </w:p>
        </w:tc>
        <w:tc>
          <w:tcPr>
            <w:tcW w:w="15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244D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25EE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B9B89">
            <w:pPr>
              <w:spacing w:before="120" w:after="120" w:line="288" w:lineRule="auto"/>
              <w:ind w:left="0"/>
              <w:jc w:val="left"/>
            </w:pPr>
          </w:p>
        </w:tc>
      </w:tr>
      <w:tr w14:paraId="5751D2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64E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V5.0</w:t>
            </w: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FB2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版本发布迭代</w:t>
            </w:r>
          </w:p>
        </w:tc>
        <w:tc>
          <w:tcPr>
            <w:tcW w:w="15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66FC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9153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2EB43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4F2978E6">
      <w:pPr>
        <w:spacing w:before="120" w:after="120" w:line="288" w:lineRule="auto"/>
        <w:ind w:left="0"/>
        <w:jc w:val="left"/>
      </w:pPr>
    </w:p>
    <w:p w14:paraId="6994B863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三、业务背景和需求目标</w:t>
      </w:r>
      <w:bookmarkEnd w:id="2"/>
    </w:p>
    <w:p w14:paraId="2A5EAA30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color w:val="3370FF"/>
          <w:sz w:val="32"/>
        </w:rPr>
        <w:t xml:space="preserve">1. </w:t>
      </w:r>
      <w:r>
        <w:rPr>
          <w:rFonts w:ascii="Arial" w:hAnsi="Arial" w:eastAsia="等线" w:cs="Arial"/>
          <w:b/>
          <w:sz w:val="32"/>
        </w:rPr>
        <w:t>业务背景</w:t>
      </w:r>
      <w:bookmarkEnd w:id="3"/>
    </w:p>
    <w:p w14:paraId="1209D5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研发制造、涉外经营、涉密机构及跨国协作类等高数据安全管控要求的企业，普遍受限只能采用线下模式开展业务沟通，而传统线下的多语种会议普遍存在多项突出痛点：</w:t>
      </w:r>
    </w:p>
    <w:p w14:paraId="308A9840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在线翻译软件高度依赖网络：企业会议室网络经常出现不稳、断网的风险。</w:t>
      </w:r>
    </w:p>
    <w:p w14:paraId="19CF0003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行业专业术语翻译混乱、不统一：通用大模型难以理解企业专业术语，造成理解偏差。</w:t>
      </w:r>
    </w:p>
    <w:p w14:paraId="6C6ABFAD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云端翻译存在泄密风险：商务谈判、技术交流、研发会议内容敏感，严禁使用线上工具。</w:t>
      </w:r>
    </w:p>
    <w:p w14:paraId="53214690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会议数据无统一管控：会议资料零散存储在个人设备、本地文件夹，易丢失和篡改。</w:t>
      </w:r>
    </w:p>
    <w:p w14:paraId="31086B1A">
      <w:pPr>
        <w:spacing w:before="120" w:after="120" w:line="288" w:lineRule="auto"/>
        <w:ind w:left="0"/>
        <w:jc w:val="left"/>
      </w:pPr>
    </w:p>
    <w:p w14:paraId="3A684F4B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color w:val="3370FF"/>
          <w:sz w:val="32"/>
        </w:rPr>
        <w:t xml:space="preserve">2. </w:t>
      </w:r>
      <w:r>
        <w:rPr>
          <w:rFonts w:ascii="Arial" w:hAnsi="Arial" w:eastAsia="等线" w:cs="Arial"/>
          <w:b/>
          <w:sz w:val="32"/>
        </w:rPr>
        <w:t>需求目标</w:t>
      </w:r>
      <w:bookmarkEnd w:id="4"/>
    </w:p>
    <w:p w14:paraId="18A3ED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依托 NVIDIA DGX Spark 桌面级硬件，为企业会议室搭建一套全离线、私有化的离线会议翻译平台，将离线实时语音翻译、专业术语/RAG知识库、AI会议纪要等能力，全部本地化部署在 Spark 硬件内，落地硬件算力价值。</w:t>
      </w:r>
    </w:p>
    <w:p w14:paraId="5B730B4A">
      <w:pPr>
        <w:spacing w:before="120" w:after="120" w:line="288" w:lineRule="auto"/>
        <w:ind w:left="0"/>
        <w:jc w:val="left"/>
      </w:pPr>
    </w:p>
    <w:p w14:paraId="052B1F4A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四、产品架构和业务流程</w:t>
      </w:r>
      <w:bookmarkEnd w:id="5"/>
    </w:p>
    <w:p w14:paraId="1AB01595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color w:val="3370FF"/>
          <w:sz w:val="32"/>
        </w:rPr>
        <w:t xml:space="preserve">1. </w:t>
      </w:r>
      <w:r>
        <w:rPr>
          <w:rFonts w:ascii="Arial" w:hAnsi="Arial" w:eastAsia="等线" w:cs="Arial"/>
          <w:b/>
          <w:sz w:val="32"/>
        </w:rPr>
        <w:t>产品架构图</w:t>
      </w:r>
      <w:bookmarkEnd w:id="6"/>
    </w:p>
    <w:p w14:paraId="37E4D7FF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181225"/>
            <wp:effectExtent l="0" t="0" r="0" b="3175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A4181">
      <w:pPr>
        <w:spacing w:before="120" w:after="120" w:line="288" w:lineRule="auto"/>
        <w:ind w:left="0"/>
        <w:jc w:val="left"/>
      </w:pPr>
    </w:p>
    <w:p w14:paraId="7462D5FC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color w:val="3370FF"/>
          <w:sz w:val="32"/>
        </w:rPr>
        <w:t xml:space="preserve">2. </w:t>
      </w:r>
      <w:r>
        <w:rPr>
          <w:rFonts w:ascii="Arial" w:hAnsi="Arial" w:eastAsia="等线" w:cs="Arial"/>
          <w:b/>
          <w:sz w:val="32"/>
        </w:rPr>
        <w:t>业务流程</w:t>
      </w:r>
      <w:bookmarkEnd w:id="7"/>
    </w:p>
    <w:p w14:paraId="12110E56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914525"/>
            <wp:effectExtent l="0" t="0" r="0" b="3175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CFF9">
      <w:pPr>
        <w:spacing w:before="120" w:after="120" w:line="288" w:lineRule="auto"/>
        <w:ind w:left="0"/>
        <w:jc w:val="left"/>
      </w:pPr>
    </w:p>
    <w:p w14:paraId="00186BC1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t>五、需求详情</w:t>
      </w:r>
      <w:bookmarkEnd w:id="8"/>
    </w:p>
    <w:p w14:paraId="420D1C82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设备系统入口</w:t>
      </w:r>
      <w:bookmarkEnd w:id="9"/>
    </w:p>
    <w:p w14:paraId="2A72C25A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200525"/>
            <wp:effectExtent l="0" t="0" r="0" b="3175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1FB51">
      <w:pPr>
        <w:spacing w:before="120" w:after="120" w:line="288" w:lineRule="auto"/>
        <w:ind w:left="0"/>
        <w:jc w:val="left"/>
      </w:pPr>
    </w:p>
    <w:p w14:paraId="5881D7EA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用户一：管理员</w:t>
      </w:r>
      <w:bookmarkEnd w:id="10"/>
    </w:p>
    <w:p w14:paraId="288D7B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职责：负责行业全量术语词条的管理，定期维护并更新企业专业词汇库，为语音翻译引擎与会议纪要生成提供精准的底层语料支撑，确保系统输出的专业性与准确度。</w:t>
      </w:r>
    </w:p>
    <w:p w14:paraId="53B49B43">
      <w:pPr>
        <w:spacing w:before="120" w:after="120" w:line="288" w:lineRule="auto"/>
        <w:ind w:left="0"/>
        <w:jc w:val="left"/>
      </w:pPr>
    </w:p>
    <w:p w14:paraId="2A7106B6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场景 1：会前语料管理</w:t>
      </w:r>
      <w:bookmarkEnd w:id="11"/>
    </w:p>
    <w:p w14:paraId="65D05465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4648200" cy="5114925"/>
            <wp:effectExtent l="0" t="0" r="0" b="3175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441A4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操作节点：</w:t>
      </w:r>
    </w:p>
    <w:p w14:paraId="30ADE1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进入术语库管理页 → 上传专业术语 /RAG 知识库 → 内容预览校验 → 确认入库</w:t>
      </w:r>
    </w:p>
    <w:p w14:paraId="6094E4BC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功能点：</w:t>
      </w:r>
    </w:p>
    <w:p w14:paraId="5860E0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1）数据导入与向量化：支持上传专业术语 CSV 文件至企业专业术语库，切片后的文本进行 Embedding 向量化处理，存入 RAG 向量数据库。新上传数据将自动覆盖同名或相同词条的历史数据；</w:t>
      </w:r>
    </w:p>
    <w:p w14:paraId="454988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2）多维检索：支持全量术语检索，提供按关键词、分类标签等多维度的精准筛选与查阅； </w:t>
      </w:r>
    </w:p>
    <w:p w14:paraId="52432A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3）术语管理： 支持对失效或过时资料进行删除处理；</w:t>
      </w:r>
    </w:p>
    <w:p w14:paraId="72740F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4)  数据来源： 基于行业通用语料库构建。</w:t>
      </w:r>
    </w:p>
    <w:p w14:paraId="3B6F40F0">
      <w:pPr>
        <w:spacing w:before="120" w:after="120" w:line="288" w:lineRule="auto"/>
        <w:ind w:left="0"/>
        <w:jc w:val="left"/>
      </w:pPr>
    </w:p>
    <w:p w14:paraId="50265FE1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用户二：参会者</w:t>
      </w:r>
      <w:bookmarkEnd w:id="12"/>
    </w:p>
    <w:p w14:paraId="08DE30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职责：参与企业内部会议，利用系统进行实时的离线语音翻译及会后纪要归档。依托管理员预置的一体化语料资源，在 NVIDIA DGX Spark 整机环境下实现全程离线运行，确保数据安全与翻译精准度。</w:t>
      </w:r>
    </w:p>
    <w:p w14:paraId="52C7B4FA">
      <w:pPr>
        <w:spacing w:before="120" w:after="120" w:line="288" w:lineRule="auto"/>
        <w:ind w:left="0"/>
        <w:jc w:val="left"/>
      </w:pPr>
    </w:p>
    <w:p w14:paraId="78F3071C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场景 1：会中语音翻译</w:t>
      </w:r>
      <w:bookmarkEnd w:id="13"/>
    </w:p>
    <w:p w14:paraId="26B6F9DD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操作节点：</w:t>
      </w:r>
    </w:p>
    <w:p w14:paraId="502365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开启语音翻译 → 大屏双语字幕实时呈现（支持其他设备 Web 端多语种接入） → 结束语音翻译</w:t>
      </w:r>
    </w:p>
    <w:p w14:paraId="313EFCF9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功能点：</w:t>
      </w:r>
    </w:p>
    <w:p w14:paraId="24C685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1）开启语音翻译：用户触发收音采集后，系统后台联动离线翻译 LLM + RAG 向量库，实现高精度的实时转译；</w:t>
      </w:r>
    </w:p>
    <w:p w14:paraId="3A2E41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2）大屏双语展示：会场主屏幕实时同步渲染原文与译文的双语字幕，保障现场沟通的直观性；</w:t>
      </w:r>
    </w:p>
    <w:p w14:paraId="4982A12C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400425"/>
            <wp:effectExtent l="0" t="0" r="0" b="3175"/>
            <wp:docPr id="5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1D0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3）Web 端多语种扩展：支持其他设备通过 Wi-Fi 接入主机，参会者可按需自定义译文语种，终端实时获取并展示双语字幕；</w:t>
      </w:r>
    </w:p>
    <w:p w14:paraId="270A4543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4524375" cy="5162550"/>
            <wp:effectExtent l="0" t="0" r="9525" b="6350"/>
            <wp:docPr id="6" name="Draw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DB1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4）结束语音翻译：会议结束关闭，系统自动留存整场语音转写文稿，作为 AI 会议纪要数据源。</w:t>
      </w:r>
    </w:p>
    <w:p w14:paraId="34430953">
      <w:pPr>
        <w:spacing w:before="120" w:after="120" w:line="288" w:lineRule="auto"/>
        <w:ind w:left="0"/>
        <w:jc w:val="left"/>
      </w:pPr>
    </w:p>
    <w:p w14:paraId="3A6BD7D6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场景 2：会后纪要导出</w:t>
      </w:r>
      <w:bookmarkEnd w:id="14"/>
    </w:p>
    <w:p w14:paraId="5598186E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4438650" cy="5200650"/>
            <wp:effectExtent l="0" t="0" r="6350" b="6350"/>
            <wp:docPr id="7" name="Draw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1273B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操作节点：</w:t>
      </w:r>
    </w:p>
    <w:p w14:paraId="2F0C54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实时转写汇总 → 复用翻译 RAG 知识库生成纪要 → 导出文档</w:t>
      </w:r>
    </w:p>
    <w:p w14:paraId="2BEDF043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功能点：</w:t>
      </w:r>
    </w:p>
    <w:p w14:paraId="51F95B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1）智能纪要生成： 系统自动整合「语音转写文稿」，复用翻译阶段的 RAG 向量库进行检索增强，确保纪要中的专业术语与翻译保持一致，提升纪要的专业度与可读性；</w:t>
      </w:r>
    </w:p>
    <w:p w14:paraId="68E97D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2）多格式导出： 支持将生成的会议纪要一键导出为 Word / PDF 等主流文档格式，方便参会者查阅。</w:t>
      </w:r>
    </w:p>
    <w:p w14:paraId="0AB8B92B">
      <w:pPr>
        <w:spacing w:before="120" w:after="120" w:line="288" w:lineRule="auto"/>
        <w:ind w:left="0"/>
        <w:jc w:val="left"/>
      </w:pPr>
    </w:p>
    <w:p w14:paraId="1FD0613E">
      <w:pPr>
        <w:spacing w:before="380" w:after="140" w:line="288" w:lineRule="auto"/>
        <w:ind w:left="0"/>
        <w:jc w:val="left"/>
        <w:outlineLvl w:val="0"/>
      </w:pPr>
      <w:bookmarkStart w:id="15" w:name="heading_15"/>
      <w:r>
        <w:rPr>
          <w:rFonts w:ascii="Arial" w:hAnsi="Arial" w:eastAsia="等线" w:cs="Arial"/>
          <w:b/>
          <w:sz w:val="36"/>
        </w:rPr>
        <w:t>六、其他事项</w:t>
      </w:r>
      <w:bookmarkEnd w:id="15"/>
    </w:p>
    <w:p w14:paraId="28C0302A">
      <w:pPr>
        <w:spacing w:before="120" w:after="120" w:line="288" w:lineRule="auto"/>
        <w:ind w:left="0"/>
        <w:jc w:val="left"/>
      </w:pPr>
    </w:p>
    <w:p w14:paraId="4B435A17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D2849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AB0A4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9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835650C"/>
    <w:rsid w:val="7284569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1275</Words>
  <Characters>1414</Characters>
  <TotalTime>2</TotalTime>
  <ScaleCrop>false</ScaleCrop>
  <LinksUpToDate>false</LinksUpToDate>
  <CharactersWithSpaces>1480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2026-06-09T08:56:00Z</dcterms:created>
  <dc:creator>Apache POI</dc:creator>
  <cp:lastModifiedBy>家成</cp:lastModifiedBy>
  <dcterms:modified xsi:type="dcterms:W3CDTF">2026-06-09T09:04:29Z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eyJoZGlkIjoiMGU5MjU4NzkwNWRkN2I2OTZjNWRhMmM1NzQyM2QwYWYiLCJ1c2VySWQiOiIzOTk0MjYwMTQifQ==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186933863EB14805AFB68F8CEAA480F5_12</vt:lpwstr>
  </property>
</Properties>
</file>