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26B7" w14:textId="77777777" w:rsidR="00970B4B" w:rsidRPr="004C7F10" w:rsidRDefault="00970B4B" w:rsidP="004C7F10">
      <w:pPr>
        <w:ind w:left="426" w:right="543"/>
        <w:jc w:val="center"/>
        <w:rPr>
          <w:b/>
        </w:rPr>
      </w:pPr>
      <w:r w:rsidRPr="004C7F10">
        <w:rPr>
          <w:b/>
        </w:rPr>
        <w:t xml:space="preserve">ADATKÉRŐ LAP </w:t>
      </w:r>
    </w:p>
    <w:p w14:paraId="11E02149" w14:textId="2D859BD4" w:rsidR="000F4EB5" w:rsidRPr="004C7F10" w:rsidRDefault="00970B4B" w:rsidP="004C7F10">
      <w:pPr>
        <w:ind w:left="426" w:right="543"/>
        <w:jc w:val="center"/>
        <w:rPr>
          <w:b/>
        </w:rPr>
      </w:pPr>
      <w:r w:rsidRPr="004C7F10">
        <w:rPr>
          <w:b/>
        </w:rPr>
        <w:t>SZEMÉLYES ADATOK KEZELÉSÉHEZ</w:t>
      </w:r>
    </w:p>
    <w:p w14:paraId="5E69A916" w14:textId="77777777" w:rsidR="00D1238F" w:rsidRPr="004C7F10" w:rsidRDefault="00D1238F" w:rsidP="004C7F10">
      <w:pPr>
        <w:ind w:left="426" w:right="543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0"/>
        <w:gridCol w:w="8666"/>
      </w:tblGrid>
      <w:tr w:rsidR="000F4EB5" w:rsidRPr="004C7F10" w14:paraId="3E636E7B" w14:textId="77777777" w:rsidTr="004C7F10">
        <w:trPr>
          <w:jc w:val="center"/>
        </w:trPr>
        <w:tc>
          <w:tcPr>
            <w:tcW w:w="4106" w:type="dxa"/>
          </w:tcPr>
          <w:p w14:paraId="16889A58" w14:textId="77777777" w:rsidR="000F4EB5" w:rsidRPr="004C7F10" w:rsidRDefault="005B4687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AZ ÉRINTETT NE</w:t>
            </w:r>
            <w:r w:rsidR="000F4EB5" w:rsidRPr="004C7F10">
              <w:rPr>
                <w:b/>
                <w:sz w:val="20"/>
                <w:szCs w:val="20"/>
              </w:rPr>
              <w:t>V</w:t>
            </w:r>
            <w:r w:rsidRPr="004C7F10">
              <w:rPr>
                <w:b/>
                <w:sz w:val="20"/>
                <w:szCs w:val="20"/>
              </w:rPr>
              <w:t>E</w:t>
            </w:r>
            <w:r w:rsidR="000F4EB5" w:rsidRPr="004C7F1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106" w:type="dxa"/>
          </w:tcPr>
          <w:p w14:paraId="1195E449" w14:textId="0A7B722F" w:rsidR="005B4687" w:rsidRPr="00B15F62" w:rsidRDefault="00B15F6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B15F62">
              <w:rPr>
                <w:rFonts w:eastAsia="Calibri"/>
                <w:sz w:val="20"/>
                <w:szCs w:val="20"/>
              </w:rPr>
              <w:t>{</w:t>
            </w:r>
            <w:r>
              <w:rPr>
                <w:rFonts w:eastAsia="Calibri"/>
                <w:sz w:val="20"/>
                <w:szCs w:val="20"/>
              </w:rPr>
              <w:t>#</w:t>
            </w:r>
            <w:r w:rsidRPr="00B15F62">
              <w:rPr>
                <w:rFonts w:eastAsia="Calibri"/>
                <w:sz w:val="20"/>
                <w:szCs w:val="20"/>
              </w:rPr>
              <w:t>personName</w:t>
            </w:r>
            <w:r>
              <w:rPr>
                <w:rFonts w:eastAsia="Calibri"/>
                <w:sz w:val="20"/>
                <w:szCs w:val="20"/>
              </w:rPr>
              <w:t>}</w:t>
            </w:r>
            <w:r w:rsidRPr="00B15F62">
              <w:rPr>
                <w:rFonts w:eastAsia="Calibri"/>
                <w:sz w:val="20"/>
                <w:szCs w:val="20"/>
              </w:rPr>
              <w:t>{personName}{</w:t>
            </w:r>
            <w:r>
              <w:rPr>
                <w:rFonts w:eastAsia="Calibri"/>
                <w:sz w:val="20"/>
                <w:szCs w:val="20"/>
              </w:rPr>
              <w:t>/</w:t>
            </w:r>
            <w:r w:rsidRPr="00B15F62">
              <w:rPr>
                <w:rFonts w:eastAsia="Calibri"/>
                <w:sz w:val="20"/>
                <w:szCs w:val="20"/>
              </w:rPr>
              <w:t>personName}{</w:t>
            </w:r>
            <w:r>
              <w:rPr>
                <w:rFonts w:eastAsia="Calibri"/>
                <w:sz w:val="20"/>
                <w:szCs w:val="20"/>
              </w:rPr>
              <w:t>#declarant</w:t>
            </w:r>
            <w:r w:rsidRPr="00B15F62">
              <w:rPr>
                <w:rFonts w:eastAsia="Calibri"/>
                <w:sz w:val="20"/>
                <w:szCs w:val="20"/>
              </w:rPr>
              <w:t>Name</w:t>
            </w:r>
            <w:r>
              <w:rPr>
                <w:rFonts w:eastAsia="Calibri"/>
                <w:sz w:val="20"/>
                <w:szCs w:val="20"/>
              </w:rPr>
              <w:t>}</w:t>
            </w:r>
            <w:r w:rsidRPr="00B15F62">
              <w:rPr>
                <w:rFonts w:eastAsia="Calibri"/>
                <w:sz w:val="20"/>
                <w:szCs w:val="20"/>
              </w:rPr>
              <w:t>{</w:t>
            </w:r>
            <w:r>
              <w:rPr>
                <w:rFonts w:eastAsia="Calibri"/>
                <w:sz w:val="20"/>
                <w:szCs w:val="20"/>
              </w:rPr>
              <w:t>declarant</w:t>
            </w:r>
            <w:r w:rsidRPr="00B15F62">
              <w:rPr>
                <w:rFonts w:eastAsia="Calibri"/>
                <w:sz w:val="20"/>
                <w:szCs w:val="20"/>
              </w:rPr>
              <w:t>Name}{</w:t>
            </w:r>
            <w:r>
              <w:rPr>
                <w:rFonts w:eastAsia="Calibri"/>
                <w:sz w:val="20"/>
                <w:szCs w:val="20"/>
              </w:rPr>
              <w:t>/declarant</w:t>
            </w:r>
            <w:r w:rsidRPr="00B15F62">
              <w:rPr>
                <w:rFonts w:eastAsia="Calibri"/>
                <w:sz w:val="20"/>
                <w:szCs w:val="20"/>
              </w:rPr>
              <w:t>Name}</w:t>
            </w:r>
          </w:p>
        </w:tc>
      </w:tr>
      <w:tr w:rsidR="00687A49" w:rsidRPr="004C7F10" w14:paraId="7C2F01D3" w14:textId="77777777" w:rsidTr="004C7F10">
        <w:trPr>
          <w:jc w:val="center"/>
        </w:trPr>
        <w:tc>
          <w:tcPr>
            <w:tcW w:w="4106" w:type="dxa"/>
          </w:tcPr>
          <w:p w14:paraId="079233BD" w14:textId="77777777" w:rsidR="00687A49" w:rsidRPr="004C7F10" w:rsidRDefault="00A62E08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SZÜL</w:t>
            </w:r>
            <w:r w:rsidR="00970B4B" w:rsidRPr="004C7F10">
              <w:rPr>
                <w:b/>
                <w:sz w:val="20"/>
                <w:szCs w:val="20"/>
              </w:rPr>
              <w:t>ETÉSI HELY, IDŐ:</w:t>
            </w:r>
          </w:p>
        </w:tc>
        <w:tc>
          <w:tcPr>
            <w:tcW w:w="5106" w:type="dxa"/>
          </w:tcPr>
          <w:p w14:paraId="0ED77EFA" w14:textId="4ED368D4" w:rsidR="00687A49" w:rsidRPr="004C7F10" w:rsidRDefault="00B15F6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B15F62">
              <w:rPr>
                <w:sz w:val="20"/>
                <w:szCs w:val="20"/>
              </w:rPr>
              <w:t>{#personBirthName}{personBirthName}{/personBirthName}{#declarantBirthName}{declarantBirthName}{/declarantBirthName}</w:t>
            </w:r>
          </w:p>
        </w:tc>
      </w:tr>
      <w:tr w:rsidR="000F4EB5" w:rsidRPr="004C7F10" w14:paraId="11389C89" w14:textId="77777777" w:rsidTr="004C7F10">
        <w:trPr>
          <w:jc w:val="center"/>
        </w:trPr>
        <w:tc>
          <w:tcPr>
            <w:tcW w:w="4106" w:type="dxa"/>
          </w:tcPr>
          <w:p w14:paraId="32660705" w14:textId="77777777" w:rsidR="005B4687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ANYJA NEVE:</w:t>
            </w:r>
          </w:p>
        </w:tc>
        <w:tc>
          <w:tcPr>
            <w:tcW w:w="5106" w:type="dxa"/>
          </w:tcPr>
          <w:p w14:paraId="0F281EF7" w14:textId="1837E4F0" w:rsidR="000F4EB5" w:rsidRPr="004C7F10" w:rsidRDefault="00B15F6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B15F62">
              <w:rPr>
                <w:sz w:val="20"/>
                <w:szCs w:val="20"/>
              </w:rPr>
              <w:t>{#personMotherName}{personMotherName}{/personMotherName}{#declarantMotherName}{declarantMotherName}{/declarantMotherName}</w:t>
            </w:r>
          </w:p>
        </w:tc>
      </w:tr>
      <w:tr w:rsidR="000F4EB5" w:rsidRPr="004C7F10" w14:paraId="5819E3CF" w14:textId="77777777" w:rsidTr="004C7F10">
        <w:trPr>
          <w:jc w:val="center"/>
        </w:trPr>
        <w:tc>
          <w:tcPr>
            <w:tcW w:w="4106" w:type="dxa"/>
          </w:tcPr>
          <w:p w14:paraId="43D9ED17" w14:textId="77777777" w:rsidR="005B4687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LAKC</w:t>
            </w:r>
            <w:r w:rsidR="00B31B7A" w:rsidRPr="004C7F10">
              <w:rPr>
                <w:b/>
                <w:sz w:val="20"/>
                <w:szCs w:val="20"/>
              </w:rPr>
              <w:t>Í</w:t>
            </w:r>
            <w:r w:rsidRPr="004C7F10">
              <w:rPr>
                <w:b/>
                <w:sz w:val="20"/>
                <w:szCs w:val="20"/>
              </w:rPr>
              <w:t>ME:</w:t>
            </w:r>
          </w:p>
        </w:tc>
        <w:tc>
          <w:tcPr>
            <w:tcW w:w="5106" w:type="dxa"/>
          </w:tcPr>
          <w:p w14:paraId="1A696379" w14:textId="4659A3C7" w:rsidR="000F4EB5" w:rsidRPr="004C7F10" w:rsidRDefault="00B15F6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B15F62">
              <w:rPr>
                <w:sz w:val="20"/>
                <w:szCs w:val="20"/>
              </w:rPr>
              <w:t>{#personAddress}{personAddress}{/personAddress}{#declarantAddress}{declarantAddress}{/declarantAddress}</w:t>
            </w:r>
          </w:p>
        </w:tc>
      </w:tr>
      <w:tr w:rsidR="000F4EB5" w:rsidRPr="004C7F10" w14:paraId="6EE3B11B" w14:textId="77777777" w:rsidTr="004C7F10">
        <w:trPr>
          <w:jc w:val="center"/>
        </w:trPr>
        <w:tc>
          <w:tcPr>
            <w:tcW w:w="4106" w:type="dxa"/>
          </w:tcPr>
          <w:p w14:paraId="744567A5" w14:textId="77777777" w:rsidR="005B4687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TELEFONSZÁMA:</w:t>
            </w:r>
          </w:p>
        </w:tc>
        <w:tc>
          <w:tcPr>
            <w:tcW w:w="5106" w:type="dxa"/>
          </w:tcPr>
          <w:p w14:paraId="25A610EA" w14:textId="351A6D84" w:rsidR="000F4EB5" w:rsidRPr="004C7F10" w:rsidRDefault="00B15F6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B15F62">
              <w:rPr>
                <w:sz w:val="20"/>
                <w:szCs w:val="20"/>
              </w:rPr>
              <w:t>{#personPhoneNumber}{personPhoneNumber}{/personPhoneNumber}{#declarantPhoneNumber}{declarantPhoneNumber}{/declarantPhoneNumber}</w:t>
            </w:r>
          </w:p>
        </w:tc>
      </w:tr>
      <w:tr w:rsidR="000F4EB5" w:rsidRPr="004C7F10" w14:paraId="6AB3AF7A" w14:textId="77777777" w:rsidTr="004C7F10">
        <w:trPr>
          <w:jc w:val="center"/>
        </w:trPr>
        <w:tc>
          <w:tcPr>
            <w:tcW w:w="4106" w:type="dxa"/>
          </w:tcPr>
          <w:p w14:paraId="300E3951" w14:textId="77777777" w:rsidR="005B4687" w:rsidRPr="004C7F10" w:rsidRDefault="00D1238F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E-MAIL CÍME:</w:t>
            </w:r>
          </w:p>
        </w:tc>
        <w:tc>
          <w:tcPr>
            <w:tcW w:w="5106" w:type="dxa"/>
          </w:tcPr>
          <w:p w14:paraId="2CB9B078" w14:textId="30F91847" w:rsidR="000F4EB5" w:rsidRPr="004C7F10" w:rsidRDefault="00B15F6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bookmarkStart w:id="0" w:name="OLE_LINK3"/>
            <w:r w:rsidRPr="00B15F62">
              <w:rPr>
                <w:sz w:val="20"/>
                <w:szCs w:val="20"/>
              </w:rPr>
              <w:t>{#personEmail}{</w:t>
            </w:r>
            <w:bookmarkEnd w:id="0"/>
            <w:r w:rsidRPr="00B15F62">
              <w:rPr>
                <w:sz w:val="20"/>
                <w:szCs w:val="20"/>
              </w:rPr>
              <w:t>personEmail}{/personEmail}{#declarantEmail}{declarantEmail}{/declarantEmail}</w:t>
            </w:r>
          </w:p>
        </w:tc>
      </w:tr>
      <w:tr w:rsidR="00D1238F" w:rsidRPr="004C7F10" w14:paraId="0614035D" w14:textId="77777777" w:rsidTr="004C7F10">
        <w:trPr>
          <w:jc w:val="center"/>
        </w:trPr>
        <w:tc>
          <w:tcPr>
            <w:tcW w:w="4106" w:type="dxa"/>
          </w:tcPr>
          <w:p w14:paraId="0A5FCAE4" w14:textId="77777777" w:rsidR="00D1238F" w:rsidRPr="004C7F10" w:rsidRDefault="00D1238F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TOVÁBBI SZEMÉLYES ADATOK:</w:t>
            </w:r>
          </w:p>
        </w:tc>
        <w:tc>
          <w:tcPr>
            <w:tcW w:w="5106" w:type="dxa"/>
          </w:tcPr>
          <w:p w14:paraId="17F75211" w14:textId="1790A722" w:rsidR="00E8486F" w:rsidRPr="004C7F10" w:rsidRDefault="002C4504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{additionalPersonalData}</w:t>
            </w:r>
          </w:p>
        </w:tc>
      </w:tr>
    </w:tbl>
    <w:p w14:paraId="4AF37BE4" w14:textId="77777777" w:rsidR="004C7F10" w:rsidRDefault="004C7F10" w:rsidP="004C7F10">
      <w:pPr>
        <w:ind w:left="426" w:right="543"/>
        <w:jc w:val="center"/>
        <w:rPr>
          <w:b/>
          <w:sz w:val="20"/>
          <w:szCs w:val="20"/>
        </w:rPr>
      </w:pPr>
    </w:p>
    <w:p w14:paraId="48D1A834" w14:textId="7E2E22A1" w:rsidR="00D1238F" w:rsidRPr="004C7F10" w:rsidRDefault="00D1238F" w:rsidP="004C7F10">
      <w:pPr>
        <w:ind w:left="426" w:right="543"/>
        <w:jc w:val="center"/>
        <w:rPr>
          <w:b/>
          <w:sz w:val="20"/>
          <w:szCs w:val="20"/>
        </w:rPr>
      </w:pPr>
      <w:r w:rsidRPr="004C7F10">
        <w:rPr>
          <w:b/>
          <w:sz w:val="20"/>
          <w:szCs w:val="20"/>
        </w:rPr>
        <w:t>INFORMÁCIÓK: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106"/>
        <w:gridCol w:w="5215"/>
      </w:tblGrid>
      <w:tr w:rsidR="00970B4B" w:rsidRPr="004C7F10" w14:paraId="2A2BB60B" w14:textId="77777777" w:rsidTr="004C7F10">
        <w:trPr>
          <w:jc w:val="center"/>
        </w:trPr>
        <w:tc>
          <w:tcPr>
            <w:tcW w:w="4106" w:type="dxa"/>
          </w:tcPr>
          <w:p w14:paraId="2E2EAD2E" w14:textId="77777777" w:rsidR="00A62E08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ADATKEZELŐ NEVE</w:t>
            </w:r>
            <w:r w:rsidR="00D1238F" w:rsidRPr="004C7F1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106" w:type="dxa"/>
          </w:tcPr>
          <w:p w14:paraId="4FB692D4" w14:textId="60B836BD" w:rsidR="00970B4B" w:rsidRPr="004C7F10" w:rsidRDefault="002C6C9E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491D95">
              <w:rPr>
                <w:rFonts w:eastAsia="Calibri"/>
                <w:sz w:val="20"/>
                <w:szCs w:val="20"/>
              </w:rPr>
              <w:t>{lawyerName}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491D95">
              <w:rPr>
                <w:rFonts w:eastAsia="Calibri"/>
                <w:sz w:val="20"/>
                <w:szCs w:val="20"/>
              </w:rPr>
              <w:t>{</w:t>
            </w:r>
            <w:r>
              <w:rPr>
                <w:rFonts w:eastAsia="Calibri"/>
                <w:sz w:val="20"/>
                <w:szCs w:val="20"/>
              </w:rPr>
              <w:t>#</w:t>
            </w:r>
            <w:r w:rsidRPr="00491D95">
              <w:rPr>
                <w:rFonts w:eastAsia="Calibri"/>
                <w:sz w:val="20"/>
                <w:szCs w:val="20"/>
              </w:rPr>
              <w:t>lawyerOffice}({lawyerOffice}){</w:t>
            </w:r>
            <w:r>
              <w:rPr>
                <w:rFonts w:eastAsia="Calibri"/>
                <w:sz w:val="20"/>
                <w:szCs w:val="20"/>
              </w:rPr>
              <w:t>/</w:t>
            </w:r>
            <w:r w:rsidRPr="00491D95">
              <w:rPr>
                <w:rFonts w:eastAsia="Calibri"/>
                <w:sz w:val="20"/>
                <w:szCs w:val="20"/>
              </w:rPr>
              <w:t>lawyerOffice}</w:t>
            </w:r>
          </w:p>
        </w:tc>
      </w:tr>
      <w:tr w:rsidR="00970B4B" w:rsidRPr="004C7F10" w14:paraId="79EAC390" w14:textId="77777777" w:rsidTr="004C7F10">
        <w:trPr>
          <w:jc w:val="center"/>
        </w:trPr>
        <w:tc>
          <w:tcPr>
            <w:tcW w:w="4106" w:type="dxa"/>
          </w:tcPr>
          <w:p w14:paraId="69F39478" w14:textId="77777777" w:rsidR="00A62E08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KÉPVISELŐJE</w:t>
            </w:r>
            <w:r w:rsidR="00D1238F" w:rsidRPr="004C7F1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106" w:type="dxa"/>
          </w:tcPr>
          <w:p w14:paraId="40939C94" w14:textId="33575E60" w:rsidR="00970B4B" w:rsidRPr="004C7F10" w:rsidRDefault="002C6C9E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491D95">
              <w:rPr>
                <w:rFonts w:eastAsia="Calibri"/>
                <w:sz w:val="20"/>
                <w:szCs w:val="20"/>
              </w:rPr>
              <w:t>{lawyerName}</w:t>
            </w:r>
          </w:p>
        </w:tc>
      </w:tr>
      <w:tr w:rsidR="00970B4B" w:rsidRPr="004C7F10" w14:paraId="522DE8BA" w14:textId="77777777" w:rsidTr="004C7F10">
        <w:trPr>
          <w:jc w:val="center"/>
        </w:trPr>
        <w:tc>
          <w:tcPr>
            <w:tcW w:w="4106" w:type="dxa"/>
          </w:tcPr>
          <w:p w14:paraId="3E5D576F" w14:textId="77777777" w:rsidR="00970B4B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AZ ADATKEZELÉS CÉLJA:</w:t>
            </w:r>
          </w:p>
          <w:p w14:paraId="1DF01B5D" w14:textId="77777777" w:rsidR="00A62E08" w:rsidRPr="004C7F10" w:rsidRDefault="00A62E08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106" w:type="dxa"/>
          </w:tcPr>
          <w:p w14:paraId="1F5670B1" w14:textId="49817361" w:rsidR="00970B4B" w:rsidRPr="004C7F10" w:rsidRDefault="00693E3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4C7F10">
              <w:rPr>
                <w:sz w:val="20"/>
                <w:szCs w:val="20"/>
              </w:rPr>
              <w:t>ügyvédi megbízás teljesítése</w:t>
            </w:r>
          </w:p>
        </w:tc>
      </w:tr>
      <w:tr w:rsidR="00970B4B" w:rsidRPr="004C7F10" w14:paraId="248EE1A6" w14:textId="77777777" w:rsidTr="004C7F10">
        <w:trPr>
          <w:jc w:val="center"/>
        </w:trPr>
        <w:tc>
          <w:tcPr>
            <w:tcW w:w="4106" w:type="dxa"/>
          </w:tcPr>
          <w:p w14:paraId="46460AC6" w14:textId="77777777" w:rsidR="00A62E08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AZ ADATKEZELÉS JOGALAPJA:</w:t>
            </w:r>
          </w:p>
        </w:tc>
        <w:tc>
          <w:tcPr>
            <w:tcW w:w="5106" w:type="dxa"/>
          </w:tcPr>
          <w:p w14:paraId="08183AA8" w14:textId="62AB10B0" w:rsidR="00970B4B" w:rsidRPr="004C7F10" w:rsidRDefault="004318EB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4C7F10">
              <w:rPr>
                <w:sz w:val="20"/>
                <w:szCs w:val="20"/>
              </w:rPr>
              <w:t>Az érintett hozzájárulása</w:t>
            </w:r>
            <w:r w:rsidR="004C7F10" w:rsidRPr="004C7F10">
              <w:rPr>
                <w:sz w:val="20"/>
                <w:szCs w:val="20"/>
              </w:rPr>
              <w:t>, illetve az ügyvédi megbízáshoz kapcsolódó adatkezelés jogalapja szerződés teljesítése a GDPR 6. cikk /1/ b) pontja alapján.</w:t>
            </w:r>
          </w:p>
        </w:tc>
      </w:tr>
      <w:tr w:rsidR="00970B4B" w:rsidRPr="004C7F10" w14:paraId="6A7D4ECE" w14:textId="77777777" w:rsidTr="004C7F10">
        <w:trPr>
          <w:jc w:val="center"/>
        </w:trPr>
        <w:tc>
          <w:tcPr>
            <w:tcW w:w="4106" w:type="dxa"/>
          </w:tcPr>
          <w:p w14:paraId="18737400" w14:textId="77777777" w:rsidR="00970B4B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A SZEMÉLYES ADATOK CÍMZETTJEI:</w:t>
            </w:r>
          </w:p>
          <w:p w14:paraId="2035DD8C" w14:textId="77777777" w:rsidR="00970B4B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>(akik megtekinthetik)</w:t>
            </w:r>
          </w:p>
        </w:tc>
        <w:tc>
          <w:tcPr>
            <w:tcW w:w="5106" w:type="dxa"/>
          </w:tcPr>
          <w:p w14:paraId="4D810A84" w14:textId="263D089A" w:rsidR="00970B4B" w:rsidRPr="004C7F10" w:rsidRDefault="00693E32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4C7F10">
              <w:rPr>
                <w:sz w:val="20"/>
                <w:szCs w:val="20"/>
              </w:rPr>
              <w:t>Az adatkezelő és a helyettesítésére jogosult ügyvédek</w:t>
            </w:r>
          </w:p>
        </w:tc>
      </w:tr>
      <w:tr w:rsidR="00970B4B" w:rsidRPr="004C7F10" w14:paraId="10B93460" w14:textId="77777777" w:rsidTr="004C7F10">
        <w:trPr>
          <w:jc w:val="center"/>
        </w:trPr>
        <w:tc>
          <w:tcPr>
            <w:tcW w:w="4106" w:type="dxa"/>
          </w:tcPr>
          <w:p w14:paraId="64452168" w14:textId="77777777" w:rsidR="00970B4B" w:rsidRPr="004C7F10" w:rsidRDefault="00970B4B" w:rsidP="004C7F10">
            <w:pPr>
              <w:spacing w:before="120" w:after="120"/>
              <w:ind w:left="164" w:right="543"/>
              <w:jc w:val="both"/>
              <w:rPr>
                <w:b/>
                <w:sz w:val="20"/>
                <w:szCs w:val="20"/>
              </w:rPr>
            </w:pPr>
            <w:r w:rsidRPr="004C7F10">
              <w:rPr>
                <w:b/>
                <w:sz w:val="20"/>
                <w:szCs w:val="20"/>
              </w:rPr>
              <w:t xml:space="preserve">A SZEMÉLYES ADATOK </w:t>
            </w:r>
            <w:r w:rsidR="00A62E08" w:rsidRPr="004C7F10">
              <w:rPr>
                <w:b/>
                <w:sz w:val="20"/>
                <w:szCs w:val="20"/>
              </w:rPr>
              <w:t>TÁROLÁSÁNAK IDŐTARTAMA</w:t>
            </w:r>
            <w:r w:rsidR="00037AF2" w:rsidRPr="004C7F1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106" w:type="dxa"/>
          </w:tcPr>
          <w:p w14:paraId="4B1F7430" w14:textId="0C936E94" w:rsidR="00970B4B" w:rsidRPr="004C7F10" w:rsidRDefault="004C7F10" w:rsidP="004C7F10">
            <w:pPr>
              <w:spacing w:before="120" w:after="120"/>
              <w:ind w:left="426" w:right="543"/>
              <w:jc w:val="both"/>
              <w:rPr>
                <w:sz w:val="20"/>
                <w:szCs w:val="20"/>
              </w:rPr>
            </w:pPr>
            <w:r w:rsidRPr="004C7F10">
              <w:rPr>
                <w:color w:val="000000"/>
                <w:sz w:val="20"/>
                <w:szCs w:val="20"/>
              </w:rPr>
              <w:t>a megbízás megszűnését követő 5 év, okirat ellenjegyzése esetén az okirat ellenjegyzését követő 10 év, ingatlanra vonatkozó jog közhiteles nyilvántartásba való bejegyzését érintő ügyben a jog bejegyzésétől számított tíz év.</w:t>
            </w:r>
          </w:p>
        </w:tc>
      </w:tr>
    </w:tbl>
    <w:p w14:paraId="2C1AFFAC" w14:textId="77777777" w:rsidR="000F4EB5" w:rsidRPr="004C7F10" w:rsidRDefault="000F4EB5" w:rsidP="004C7F10">
      <w:pPr>
        <w:ind w:left="426" w:right="543"/>
        <w:jc w:val="center"/>
        <w:rPr>
          <w:b/>
          <w:sz w:val="20"/>
          <w:szCs w:val="20"/>
        </w:rPr>
      </w:pPr>
    </w:p>
    <w:p w14:paraId="22CF3730" w14:textId="480DA3F2" w:rsidR="000F4EB5" w:rsidRPr="004C7F10" w:rsidRDefault="004C7F10" w:rsidP="004C7F10">
      <w:pPr>
        <w:ind w:left="426" w:right="543"/>
        <w:jc w:val="center"/>
        <w:rPr>
          <w:b/>
          <w:sz w:val="20"/>
          <w:szCs w:val="20"/>
        </w:rPr>
      </w:pPr>
      <w:r w:rsidRPr="004C7F10">
        <w:rPr>
          <w:b/>
          <w:sz w:val="20"/>
          <w:szCs w:val="20"/>
        </w:rPr>
        <w:t>ÜGYVÉDI MEGBÍZÁSHOZ KAPCSOLÓDÓ TÁJÉKOZTATÁS</w:t>
      </w:r>
      <w:r w:rsidR="000A6180" w:rsidRPr="004C7F10">
        <w:rPr>
          <w:b/>
          <w:sz w:val="20"/>
          <w:szCs w:val="20"/>
        </w:rPr>
        <w:t>:</w:t>
      </w:r>
    </w:p>
    <w:p w14:paraId="0284EDC7" w14:textId="77777777" w:rsidR="007B6B23" w:rsidRPr="004C7F10" w:rsidRDefault="007B6B23" w:rsidP="004C7F10">
      <w:pPr>
        <w:ind w:left="426" w:right="543"/>
        <w:jc w:val="center"/>
        <w:rPr>
          <w:b/>
          <w:sz w:val="20"/>
          <w:szCs w:val="20"/>
        </w:rPr>
      </w:pPr>
    </w:p>
    <w:p w14:paraId="40A2ADC1" w14:textId="77777777" w:rsidR="000F4EB5" w:rsidRPr="004C7F10" w:rsidRDefault="0034238F" w:rsidP="004C7F10">
      <w:pPr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sz w:val="20"/>
          <w:szCs w:val="20"/>
        </w:rPr>
        <w:lastRenderedPageBreak/>
        <w:t xml:space="preserve">Az adatszolgáltatás önkéntes. </w:t>
      </w:r>
      <w:r w:rsidR="00A62E08" w:rsidRPr="004C7F10">
        <w:rPr>
          <w:sz w:val="20"/>
          <w:szCs w:val="20"/>
        </w:rPr>
        <w:t>Önnek</w:t>
      </w:r>
      <w:r w:rsidR="00D1238F" w:rsidRPr="004C7F10">
        <w:rPr>
          <w:sz w:val="20"/>
          <w:szCs w:val="20"/>
        </w:rPr>
        <w:t xml:space="preserve">, mint érintett személynek </w:t>
      </w:r>
      <w:r w:rsidR="00687A49" w:rsidRPr="004C7F10">
        <w:rPr>
          <w:sz w:val="20"/>
          <w:szCs w:val="20"/>
        </w:rPr>
        <w:t>j</w:t>
      </w:r>
      <w:r w:rsidR="000F4EB5" w:rsidRPr="004C7F10">
        <w:rPr>
          <w:sz w:val="20"/>
          <w:szCs w:val="20"/>
        </w:rPr>
        <w:t>oga van</w:t>
      </w:r>
      <w:r w:rsidR="000F4EB5" w:rsidRPr="004C7F10">
        <w:rPr>
          <w:b/>
          <w:sz w:val="20"/>
          <w:szCs w:val="20"/>
        </w:rPr>
        <w:t xml:space="preserve"> </w:t>
      </w:r>
      <w:r w:rsidR="007B6B23" w:rsidRPr="004C7F10">
        <w:rPr>
          <w:color w:val="000000"/>
          <w:sz w:val="20"/>
          <w:szCs w:val="20"/>
        </w:rPr>
        <w:t xml:space="preserve">kérelmezni </w:t>
      </w:r>
      <w:r w:rsidR="000F4EB5" w:rsidRPr="004C7F10">
        <w:rPr>
          <w:color w:val="000000"/>
          <w:sz w:val="20"/>
          <w:szCs w:val="20"/>
        </w:rPr>
        <w:t>az adatkezelőtől a</w:t>
      </w:r>
      <w:r w:rsidR="00687A49" w:rsidRPr="004C7F10">
        <w:rPr>
          <w:color w:val="000000"/>
          <w:sz w:val="20"/>
          <w:szCs w:val="20"/>
        </w:rPr>
        <w:t>z Önre</w:t>
      </w:r>
      <w:r w:rsidR="000F4EB5" w:rsidRPr="004C7F10">
        <w:rPr>
          <w:color w:val="000000"/>
          <w:sz w:val="20"/>
          <w:szCs w:val="20"/>
        </w:rPr>
        <w:t xml:space="preserve"> vonatkozó személyes adatokhoz való hozzáférést, azok helyesbítését, törlését vagy kezelésének korlátozását, és tiltakozhat az ilyen személyes adatok kezelése ellen, valamint a joga van az adathordozhatósághoz. </w:t>
      </w:r>
    </w:p>
    <w:p w14:paraId="3BF0A360" w14:textId="77777777" w:rsidR="007B6B23" w:rsidRPr="004C7F10" w:rsidRDefault="007B6B23" w:rsidP="004C7F10">
      <w:pPr>
        <w:ind w:left="426" w:right="543"/>
        <w:jc w:val="both"/>
        <w:rPr>
          <w:color w:val="000000"/>
          <w:sz w:val="20"/>
          <w:szCs w:val="20"/>
        </w:rPr>
      </w:pPr>
    </w:p>
    <w:p w14:paraId="19B877B0" w14:textId="77777777" w:rsidR="000F4EB5" w:rsidRPr="004C7F10" w:rsidRDefault="000F4EB5" w:rsidP="004C7F10">
      <w:pPr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>Joga van a hozzájárulása bármely időpontban történő visszavonásához, amely nem érinti a visszavonás előtt a hozzájárulás alapján végrehajtott adatkezelés jogszerűségét.</w:t>
      </w:r>
    </w:p>
    <w:p w14:paraId="54D45E4C" w14:textId="77777777" w:rsidR="007B6B23" w:rsidRPr="004C7F10" w:rsidRDefault="007B6B23" w:rsidP="004C7F10">
      <w:pPr>
        <w:ind w:left="426" w:right="543"/>
        <w:jc w:val="both"/>
        <w:rPr>
          <w:color w:val="000000"/>
          <w:sz w:val="20"/>
          <w:szCs w:val="20"/>
        </w:rPr>
      </w:pPr>
    </w:p>
    <w:p w14:paraId="72326EC3" w14:textId="6C17AB93" w:rsidR="000F4EB5" w:rsidRPr="004C7F10" w:rsidRDefault="000F4EB5" w:rsidP="004C7F10">
      <w:pPr>
        <w:pStyle w:val="Norml1"/>
        <w:spacing w:before="0" w:beforeAutospacing="0" w:after="0" w:afterAutospacing="0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Joga van a felügyeleti hatósághoz (Nemzeti Adatvédelmi és Információszabadság Hatóság) </w:t>
      </w:r>
      <w:r w:rsidR="00432FAC" w:rsidRPr="004C7F10">
        <w:rPr>
          <w:color w:val="000000"/>
          <w:sz w:val="20"/>
          <w:szCs w:val="20"/>
        </w:rPr>
        <w:t>panaszt benyújtani</w:t>
      </w:r>
      <w:r w:rsidR="004C7F10" w:rsidRPr="004C7F10">
        <w:rPr>
          <w:color w:val="000000"/>
          <w:sz w:val="20"/>
          <w:szCs w:val="20"/>
        </w:rPr>
        <w:t>.</w:t>
      </w:r>
    </w:p>
    <w:p w14:paraId="0AD84101" w14:textId="6574EAC4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Az ügyvédi megbízás az ügyvédi tevékenység folytatására adott megbízást jelenti. A megbízási szerződést írásba kell foglalni kivéve, ha az csak jogi tanácsadásra irányul. Az ügyvédi megbízáshoz kapcsolódó adatkezelés célja az ügyvédi megbízás teljesítése. </w:t>
      </w:r>
    </w:p>
    <w:p w14:paraId="04820900" w14:textId="378900A4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A megbízást az ügyfél képviseletében megadó hozzátartozó, jogi személy képviselő és kapcsolattartó vonatkozásában az adatkezelés jogalapja az adatkezelő ügyvéd jogos érdeke a </w:t>
      </w:r>
      <w:r w:rsidRPr="004C7F10">
        <w:rPr>
          <w:sz w:val="20"/>
          <w:szCs w:val="20"/>
        </w:rPr>
        <w:t xml:space="preserve">GDPR </w:t>
      </w:r>
      <w:r w:rsidRPr="004C7F10">
        <w:rPr>
          <w:color w:val="000000"/>
          <w:sz w:val="20"/>
          <w:szCs w:val="20"/>
        </w:rPr>
        <w:t xml:space="preserve">6. cikk /1/ f) pontja alapján. Ugyancsak jogos érdek jogcímén kezeli az ügyvéd a megbízás teljesítéséhez szükséges, harmadik személyek – például tanúk, szakértők – adatait.  </w:t>
      </w:r>
    </w:p>
    <w:p w14:paraId="15791610" w14:textId="1045266C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>Az adatok adatfeldolgozás céljára átadásra kerülnek az ügyvéd archiválási, továbbá számviteli és – elektronikus kapcsolattartás esetén - IT szolgáltatója részére. A címadatok postázás esetén átadásra kerülnek a Magyar Posta, illetve a megbízott futárszolgálat részére.</w:t>
      </w:r>
    </w:p>
    <w:p w14:paraId="61500F0B" w14:textId="79159E39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>A címzettek köre: A személyes adatok a megbízás és az adatkezelés célja szerint továbbíthatók az eljáró hatóságoknak, bíróságoknak, ellenérdekű feleknek, harmadik személyeknek. Az ügyvéd a megbízás teljesítése során helyettesítő ügyvédet vehet igénybe, az adatok átadhatók a helyettesítő ügyvéd részére. Az adatok közölhetők az ügyvéd alkalmazottjaival.  A személyes adatok átadhatók az ügyvédi megbízás teljesítésében közreműködő személyek, illetve a megbízás teljesítéséhez kapcsolódóan igénybe vett egyéb személyek részére, akiknek közreműködését, illetve igénybevételét az ügyfél jóváhagyta.</w:t>
      </w:r>
    </w:p>
    <w:p w14:paraId="575E11C8" w14:textId="0CBD994A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Amennyiben a területi ügyvédi kamara irodagondnokot jelöl ki, az irodagondnok jogosult az ügyvéd képviseletére és az iratokba betekinteni. </w:t>
      </w:r>
    </w:p>
    <w:p w14:paraId="0E2309BF" w14:textId="3ADEA313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 Okirat ellenjegyzése esetén az ügyvéd által ellenjegyzett okiratot, valamint az okirat ellenjegyzésével járó ügyben keletkezett más iratokat - ha jogszabály ennél hosszabb megőrzési időt nem állapít meg, vagy a felek ennél hosszabb ideig történő őrzésben nem egyeztek meg - az ellenjegyzéstől számított tíz évig megőrzi. </w:t>
      </w:r>
    </w:p>
    <w:p w14:paraId="71398D85" w14:textId="2F5AB936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>Az ügyvéd jogi kötelezettség teljesítése jogcímén, törvényben előírt adó és számviteli kötelezettségek teljesítése (könyvelés, adózás) céljából  kezeli az megbízó nevét, címét, adószámát.  A személyes adatok tárolásának időtartama a jogalapot adó jogviszony megszűnését követő 8 év.  A személyes adatok címzettjei: az ügyvédi iroda adózási, könyvviteli feladatait ellátó munkavállalói és adatfeldolgozói.</w:t>
      </w:r>
    </w:p>
    <w:p w14:paraId="47F71CCE" w14:textId="3FF1B004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>Az ügyvéd jogi kötelezettség teljesítése jogcímén kezeli a pénzmosás és a terrorizmus finanszírozása megelőzéséről és megakadályozásáról szóló 2017. évi LIII. törvényben meghatározott ügyfél-adatokat.</w:t>
      </w:r>
    </w:p>
    <w:p w14:paraId="6E18DD7B" w14:textId="69D13D8A" w:rsidR="004C7F10" w:rsidRPr="004C7F10" w:rsidRDefault="004C7F10" w:rsidP="004C7F10">
      <w:pPr>
        <w:pStyle w:val="Norml1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A személyes adatok ügyvédi titoknak minősülnek, azok megőrzésére az ügyvéd fokozott biztonsági intézkedéseket alkalmaz. </w:t>
      </w:r>
    </w:p>
    <w:p w14:paraId="25F6ADC3" w14:textId="7EFC202B" w:rsidR="004C7F10" w:rsidRPr="004C7F10" w:rsidRDefault="004C7F10" w:rsidP="004C7F10">
      <w:pPr>
        <w:pStyle w:val="Norml1"/>
        <w:spacing w:before="0" w:beforeAutospacing="0" w:after="0" w:afterAutospacing="0"/>
        <w:ind w:left="426" w:right="543"/>
        <w:jc w:val="both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>Az ügyfélnek, mint az ügyvédi adatkezeléssel érintett természetes személynek az adatkezeléssel összefüggésben joga van az átlátható tájékoztatáshoz, kommunikációhoz, és joggyakorlásának elősegítéséhez.  Az érintettet megilleti a hozzáférés joga és a helyesbítéshez való jog, az adatvédelmi incidensről való tájékoztatás joga, a felügyeleti hatóságnál történő panasztételhez való jog (hatósági jogorvoslathoz való jog), a felügyeleti hatósággal szembeni hatékony bírósági jogorvoslathoz való jog, az adatkezelővel vagy az adatfeldolgozóval szembeni hatékony bírósági jogorvoslathoz való jog.  Az adatvédelmi jogszabályokban írt feltételekkel és korlátozásokkal illeti meg az érintetett a törléshez való jog („az elfeledtetéshez való jog”), az adatkezelés korlátozásához való jog, az adathordozhatósághoz való jog, a tiltakozáshoz való jog, az automatizált döntéshozatallal, profilalkotással kapcsolatos jog. Az érintett természetes személy jogaira vonatkozó részletes szabályokat az EU általános adatvédelmi rendelete tartalmazza.</w:t>
      </w:r>
    </w:p>
    <w:p w14:paraId="13D010ED" w14:textId="77777777" w:rsidR="007B6B23" w:rsidRPr="004C7F10" w:rsidRDefault="007B6B23" w:rsidP="004C7F10">
      <w:pPr>
        <w:pStyle w:val="Norml1"/>
        <w:spacing w:before="0" w:beforeAutospacing="0" w:after="0" w:afterAutospacing="0"/>
        <w:ind w:left="426" w:right="543"/>
        <w:jc w:val="both"/>
        <w:rPr>
          <w:color w:val="000000"/>
          <w:sz w:val="20"/>
          <w:szCs w:val="20"/>
        </w:rPr>
      </w:pPr>
    </w:p>
    <w:p w14:paraId="19D2418C" w14:textId="08BF9069" w:rsidR="00B31B7A" w:rsidRDefault="000A6180" w:rsidP="002C4504">
      <w:pPr>
        <w:pStyle w:val="Norml1"/>
        <w:spacing w:before="0" w:beforeAutospacing="0" w:after="0" w:afterAutospacing="0"/>
        <w:ind w:left="426" w:right="543"/>
        <w:jc w:val="both"/>
        <w:rPr>
          <w:sz w:val="20"/>
          <w:szCs w:val="20"/>
        </w:rPr>
      </w:pPr>
      <w:r w:rsidRPr="004C7F10">
        <w:rPr>
          <w:sz w:val="20"/>
          <w:szCs w:val="20"/>
        </w:rPr>
        <w:t>Az adatszolgáltatás nem előfeltétele szerződéskötésnek, a személyes adatok megadására nem köteles</w:t>
      </w:r>
      <w:r w:rsidR="004C7F10">
        <w:rPr>
          <w:sz w:val="20"/>
          <w:szCs w:val="20"/>
        </w:rPr>
        <w:t>, azonban a</w:t>
      </w:r>
      <w:r w:rsidR="00D1238F" w:rsidRPr="004C7F10">
        <w:rPr>
          <w:sz w:val="20"/>
          <w:szCs w:val="20"/>
        </w:rPr>
        <w:t>z adatszolgáltatás elmaradásának következménye</w:t>
      </w:r>
      <w:r w:rsidR="00B31B7A" w:rsidRPr="004C7F10">
        <w:rPr>
          <w:sz w:val="20"/>
          <w:szCs w:val="20"/>
        </w:rPr>
        <w:t>i a következők</w:t>
      </w:r>
      <w:r w:rsidR="00D1238F" w:rsidRPr="004C7F10">
        <w:rPr>
          <w:sz w:val="20"/>
          <w:szCs w:val="20"/>
        </w:rPr>
        <w:t>:</w:t>
      </w:r>
      <w:r w:rsidR="00915ECD" w:rsidRPr="004C7F10">
        <w:rPr>
          <w:sz w:val="20"/>
          <w:szCs w:val="20"/>
        </w:rPr>
        <w:t xml:space="preserve"> </w:t>
      </w:r>
      <w:r w:rsidR="002C4504">
        <w:rPr>
          <w:sz w:val="20"/>
          <w:szCs w:val="20"/>
        </w:rPr>
        <w:t>{missingDataConsequences}</w:t>
      </w:r>
    </w:p>
    <w:p w14:paraId="09629759" w14:textId="77777777" w:rsidR="002C4504" w:rsidRPr="002C4504" w:rsidRDefault="002C4504" w:rsidP="002C4504">
      <w:pPr>
        <w:pStyle w:val="Norml1"/>
        <w:spacing w:before="0" w:beforeAutospacing="0" w:after="0" w:afterAutospacing="0"/>
        <w:ind w:left="426" w:right="543"/>
        <w:jc w:val="both"/>
        <w:rPr>
          <w:sz w:val="20"/>
          <w:szCs w:val="20"/>
        </w:rPr>
      </w:pPr>
    </w:p>
    <w:p w14:paraId="32295D2B" w14:textId="77777777" w:rsidR="00432FAC" w:rsidRPr="004C7F10" w:rsidRDefault="000A6180" w:rsidP="004C7F10">
      <w:pPr>
        <w:ind w:left="426" w:right="543"/>
        <w:jc w:val="both"/>
        <w:rPr>
          <w:b/>
          <w:i/>
          <w:color w:val="000000"/>
          <w:sz w:val="20"/>
          <w:szCs w:val="20"/>
        </w:rPr>
      </w:pPr>
      <w:r w:rsidRPr="004C7F10">
        <w:rPr>
          <w:b/>
          <w:i/>
          <w:color w:val="000000"/>
          <w:sz w:val="20"/>
          <w:szCs w:val="20"/>
        </w:rPr>
        <w:t xml:space="preserve">A fenti információkat és tájékoztatást tudomásul vettem, </w:t>
      </w:r>
      <w:r w:rsidR="00D1238F" w:rsidRPr="004C7F10">
        <w:rPr>
          <w:b/>
          <w:i/>
          <w:color w:val="000000"/>
          <w:sz w:val="20"/>
          <w:szCs w:val="20"/>
        </w:rPr>
        <w:t xml:space="preserve">fent megadott </w:t>
      </w:r>
      <w:r w:rsidR="00432FAC" w:rsidRPr="004C7F10">
        <w:rPr>
          <w:b/>
          <w:i/>
          <w:color w:val="000000"/>
          <w:sz w:val="20"/>
          <w:szCs w:val="20"/>
        </w:rPr>
        <w:t>személyes adataim fenti</w:t>
      </w:r>
      <w:r w:rsidR="00D1238F" w:rsidRPr="004C7F10">
        <w:rPr>
          <w:b/>
          <w:i/>
          <w:color w:val="000000"/>
          <w:sz w:val="20"/>
          <w:szCs w:val="20"/>
        </w:rPr>
        <w:t xml:space="preserve">ekben megjelölt </w:t>
      </w:r>
      <w:r w:rsidR="00432FAC" w:rsidRPr="004C7F10">
        <w:rPr>
          <w:b/>
          <w:i/>
          <w:color w:val="000000"/>
          <w:sz w:val="20"/>
          <w:szCs w:val="20"/>
        </w:rPr>
        <w:t>célú kezeléséhez</w:t>
      </w:r>
      <w:r w:rsidR="00AC623A" w:rsidRPr="004C7F10">
        <w:rPr>
          <w:b/>
          <w:i/>
          <w:color w:val="000000"/>
          <w:sz w:val="20"/>
          <w:szCs w:val="20"/>
        </w:rPr>
        <w:t xml:space="preserve"> önkéntes</w:t>
      </w:r>
      <w:r w:rsidR="00D749D0" w:rsidRPr="004C7F10">
        <w:rPr>
          <w:b/>
          <w:i/>
          <w:color w:val="000000"/>
          <w:sz w:val="20"/>
          <w:szCs w:val="20"/>
        </w:rPr>
        <w:t>en, minden külső befolyás nélkül</w:t>
      </w:r>
      <w:r w:rsidR="00AC623A" w:rsidRPr="004C7F10">
        <w:rPr>
          <w:b/>
          <w:i/>
          <w:color w:val="000000"/>
          <w:sz w:val="20"/>
          <w:szCs w:val="20"/>
        </w:rPr>
        <w:t xml:space="preserve"> </w:t>
      </w:r>
      <w:r w:rsidR="00037AF2" w:rsidRPr="004C7F10">
        <w:rPr>
          <w:b/>
          <w:i/>
          <w:color w:val="000000"/>
          <w:sz w:val="20"/>
          <w:szCs w:val="20"/>
        </w:rPr>
        <w:t>beleegyezésemet adom</w:t>
      </w:r>
      <w:r w:rsidR="00432FAC" w:rsidRPr="004C7F10">
        <w:rPr>
          <w:b/>
          <w:i/>
          <w:color w:val="000000"/>
          <w:sz w:val="20"/>
          <w:szCs w:val="20"/>
        </w:rPr>
        <w:t xml:space="preserve">. </w:t>
      </w:r>
    </w:p>
    <w:p w14:paraId="77E81522" w14:textId="77777777" w:rsidR="00D749D0" w:rsidRPr="004C7F10" w:rsidRDefault="00D749D0" w:rsidP="004C7F10">
      <w:pPr>
        <w:ind w:left="426" w:right="543"/>
        <w:jc w:val="both"/>
        <w:rPr>
          <w:b/>
          <w:i/>
          <w:color w:val="000000"/>
          <w:sz w:val="20"/>
          <w:szCs w:val="20"/>
        </w:rPr>
      </w:pPr>
    </w:p>
    <w:p w14:paraId="1D7FA361" w14:textId="791DD06D" w:rsidR="000A6180" w:rsidRPr="003D527D" w:rsidRDefault="000A6180" w:rsidP="003D527D">
      <w:pPr>
        <w:autoSpaceDE w:val="0"/>
        <w:autoSpaceDN w:val="0"/>
        <w:adjustRightInd w:val="0"/>
        <w:ind w:firstLine="426"/>
        <w:rPr>
          <w:rFonts w:eastAsia="Calibri"/>
          <w:sz w:val="20"/>
          <w:szCs w:val="20"/>
        </w:rPr>
      </w:pPr>
      <w:r w:rsidRPr="004C7F10">
        <w:rPr>
          <w:color w:val="000000"/>
          <w:sz w:val="20"/>
          <w:szCs w:val="20"/>
        </w:rPr>
        <w:t xml:space="preserve">Kelt </w:t>
      </w:r>
      <w:r w:rsidR="003D527D">
        <w:rPr>
          <w:rFonts w:eastAsia="Calibri"/>
          <w:sz w:val="20"/>
          <w:szCs w:val="20"/>
        </w:rPr>
        <w:t>{contractSigningPlace}</w:t>
      </w:r>
      <w:r w:rsidR="003D527D" w:rsidRPr="0049309D">
        <w:rPr>
          <w:rFonts w:eastAsia="Calibri"/>
          <w:sz w:val="20"/>
          <w:szCs w:val="20"/>
        </w:rPr>
        <w:t xml:space="preserve">, </w:t>
      </w:r>
      <w:r w:rsidR="003D527D">
        <w:rPr>
          <w:rFonts w:eastAsia="Calibri"/>
          <w:sz w:val="20"/>
          <w:szCs w:val="20"/>
        </w:rPr>
        <w:t>{contractSigningDate}</w:t>
      </w:r>
      <w:r w:rsidR="008B185F" w:rsidRPr="004C7F10">
        <w:rPr>
          <w:color w:val="000000"/>
          <w:sz w:val="20"/>
          <w:szCs w:val="20"/>
        </w:rPr>
        <w:t>napján</w:t>
      </w:r>
    </w:p>
    <w:p w14:paraId="44AB749D" w14:textId="77777777" w:rsidR="005B4687" w:rsidRPr="004C7F10" w:rsidRDefault="005B4687" w:rsidP="004C7F10">
      <w:pPr>
        <w:ind w:left="426" w:right="543"/>
        <w:rPr>
          <w:color w:val="000000"/>
          <w:sz w:val="20"/>
          <w:szCs w:val="20"/>
        </w:rPr>
      </w:pPr>
    </w:p>
    <w:p w14:paraId="00A5839B" w14:textId="3EC1ADA0" w:rsidR="000A6180" w:rsidRPr="004C7F10" w:rsidRDefault="000A6180" w:rsidP="004C7F10">
      <w:pPr>
        <w:ind w:left="426" w:right="543"/>
        <w:rPr>
          <w:color w:val="000000"/>
          <w:sz w:val="20"/>
          <w:szCs w:val="20"/>
        </w:rPr>
      </w:pP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="002565B5">
        <w:rPr>
          <w:color w:val="000000"/>
          <w:sz w:val="20"/>
          <w:szCs w:val="20"/>
        </w:rPr>
        <w:tab/>
      </w:r>
      <w:r w:rsidR="002565B5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>____________________________</w:t>
      </w:r>
    </w:p>
    <w:p w14:paraId="68B6793E" w14:textId="45048D86" w:rsidR="00393320" w:rsidRPr="004C7F10" w:rsidRDefault="000A6180" w:rsidP="004C7F10">
      <w:pPr>
        <w:ind w:left="426" w:right="543"/>
        <w:rPr>
          <w:color w:val="FF0000"/>
          <w:sz w:val="20"/>
          <w:szCs w:val="20"/>
        </w:rPr>
      </w:pP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ab/>
      </w:r>
      <w:r w:rsidR="002565B5">
        <w:rPr>
          <w:color w:val="000000"/>
          <w:sz w:val="20"/>
          <w:szCs w:val="20"/>
        </w:rPr>
        <w:tab/>
      </w:r>
      <w:r w:rsidR="002565B5">
        <w:rPr>
          <w:color w:val="000000"/>
          <w:sz w:val="20"/>
          <w:szCs w:val="20"/>
        </w:rPr>
        <w:tab/>
      </w:r>
      <w:r w:rsidRPr="004C7F10">
        <w:rPr>
          <w:color w:val="000000"/>
          <w:sz w:val="20"/>
          <w:szCs w:val="20"/>
        </w:rPr>
        <w:t xml:space="preserve">         aláírás</w:t>
      </w:r>
    </w:p>
    <w:sectPr w:rsidR="00393320" w:rsidRPr="004C7F10" w:rsidSect="007B6B2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98ED" w14:textId="77777777" w:rsidR="00B22AEA" w:rsidRDefault="00B22AEA" w:rsidP="004C7F10">
      <w:r>
        <w:separator/>
      </w:r>
    </w:p>
  </w:endnote>
  <w:endnote w:type="continuationSeparator" w:id="0">
    <w:p w14:paraId="19B8177F" w14:textId="77777777" w:rsidR="00B22AEA" w:rsidRDefault="00B22AEA" w:rsidP="004C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80423537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279F683F" w14:textId="6B3F278E" w:rsidR="004C7F10" w:rsidRPr="004C7F10" w:rsidRDefault="004C7F10">
            <w:pPr>
              <w:pStyle w:val="Footer"/>
              <w:jc w:val="center"/>
              <w:rPr>
                <w:sz w:val="20"/>
                <w:szCs w:val="20"/>
              </w:rPr>
            </w:pPr>
            <w:r w:rsidRPr="004C7F10">
              <w:rPr>
                <w:sz w:val="20"/>
                <w:szCs w:val="20"/>
              </w:rPr>
              <w:t xml:space="preserve">oldal </w:t>
            </w:r>
            <w:r w:rsidRPr="004C7F10">
              <w:rPr>
                <w:sz w:val="20"/>
                <w:szCs w:val="20"/>
              </w:rPr>
              <w:fldChar w:fldCharType="begin"/>
            </w:r>
            <w:r w:rsidRPr="004C7F10">
              <w:rPr>
                <w:sz w:val="20"/>
                <w:szCs w:val="20"/>
              </w:rPr>
              <w:instrText>PAGE</w:instrText>
            </w:r>
            <w:r w:rsidRPr="004C7F10">
              <w:rPr>
                <w:sz w:val="20"/>
                <w:szCs w:val="20"/>
              </w:rPr>
              <w:fldChar w:fldCharType="separate"/>
            </w:r>
            <w:r w:rsidRPr="004C7F10">
              <w:rPr>
                <w:sz w:val="20"/>
                <w:szCs w:val="20"/>
              </w:rPr>
              <w:t>2</w:t>
            </w:r>
            <w:r w:rsidRPr="004C7F10">
              <w:rPr>
                <w:sz w:val="20"/>
                <w:szCs w:val="20"/>
              </w:rPr>
              <w:fldChar w:fldCharType="end"/>
            </w:r>
            <w:r w:rsidRPr="004C7F10">
              <w:rPr>
                <w:sz w:val="20"/>
                <w:szCs w:val="20"/>
              </w:rPr>
              <w:t xml:space="preserve"> / </w:t>
            </w:r>
            <w:r w:rsidRPr="004C7F10">
              <w:rPr>
                <w:sz w:val="20"/>
                <w:szCs w:val="20"/>
              </w:rPr>
              <w:fldChar w:fldCharType="begin"/>
            </w:r>
            <w:r w:rsidRPr="004C7F10">
              <w:rPr>
                <w:sz w:val="20"/>
                <w:szCs w:val="20"/>
              </w:rPr>
              <w:instrText>NUMPAGES</w:instrText>
            </w:r>
            <w:r w:rsidRPr="004C7F10">
              <w:rPr>
                <w:sz w:val="20"/>
                <w:szCs w:val="20"/>
              </w:rPr>
              <w:fldChar w:fldCharType="separate"/>
            </w:r>
            <w:r w:rsidRPr="004C7F10">
              <w:rPr>
                <w:sz w:val="20"/>
                <w:szCs w:val="20"/>
              </w:rPr>
              <w:t>2</w:t>
            </w:r>
            <w:r w:rsidRPr="004C7F10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3BD57BA4" w14:textId="77777777" w:rsidR="004C7F10" w:rsidRDefault="004C7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2D76" w14:textId="77777777" w:rsidR="00B22AEA" w:rsidRDefault="00B22AEA" w:rsidP="004C7F10">
      <w:r>
        <w:separator/>
      </w:r>
    </w:p>
  </w:footnote>
  <w:footnote w:type="continuationSeparator" w:id="0">
    <w:p w14:paraId="399ECC51" w14:textId="77777777" w:rsidR="00B22AEA" w:rsidRDefault="00B22AEA" w:rsidP="004C7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C1BE3"/>
    <w:multiLevelType w:val="hybridMultilevel"/>
    <w:tmpl w:val="ECA89948"/>
    <w:lvl w:ilvl="0" w:tplc="8D22DB9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1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B5"/>
    <w:rsid w:val="00037AF2"/>
    <w:rsid w:val="00086F5C"/>
    <w:rsid w:val="000A6180"/>
    <w:rsid w:val="000F4EB5"/>
    <w:rsid w:val="001236BF"/>
    <w:rsid w:val="00126DF3"/>
    <w:rsid w:val="00140003"/>
    <w:rsid w:val="00172255"/>
    <w:rsid w:val="0021685D"/>
    <w:rsid w:val="002565B5"/>
    <w:rsid w:val="002C4504"/>
    <w:rsid w:val="002C6C9E"/>
    <w:rsid w:val="002E0DB9"/>
    <w:rsid w:val="003318CA"/>
    <w:rsid w:val="0034238F"/>
    <w:rsid w:val="0038378A"/>
    <w:rsid w:val="00393320"/>
    <w:rsid w:val="003C7A0C"/>
    <w:rsid w:val="003D527D"/>
    <w:rsid w:val="003F6A15"/>
    <w:rsid w:val="004318EB"/>
    <w:rsid w:val="00432FAC"/>
    <w:rsid w:val="004506AD"/>
    <w:rsid w:val="00456024"/>
    <w:rsid w:val="00482D38"/>
    <w:rsid w:val="004C7F10"/>
    <w:rsid w:val="00517AD1"/>
    <w:rsid w:val="00530427"/>
    <w:rsid w:val="005B0AB9"/>
    <w:rsid w:val="005B4687"/>
    <w:rsid w:val="0060269A"/>
    <w:rsid w:val="006240D6"/>
    <w:rsid w:val="00687A49"/>
    <w:rsid w:val="00693E32"/>
    <w:rsid w:val="00721AF9"/>
    <w:rsid w:val="007749C1"/>
    <w:rsid w:val="007A706A"/>
    <w:rsid w:val="007B6B23"/>
    <w:rsid w:val="00874BCC"/>
    <w:rsid w:val="008B185F"/>
    <w:rsid w:val="008C7D1C"/>
    <w:rsid w:val="008E011C"/>
    <w:rsid w:val="00915ECD"/>
    <w:rsid w:val="00970B4B"/>
    <w:rsid w:val="009E7532"/>
    <w:rsid w:val="00A04C0C"/>
    <w:rsid w:val="00A30330"/>
    <w:rsid w:val="00A62E08"/>
    <w:rsid w:val="00A7034C"/>
    <w:rsid w:val="00AC623A"/>
    <w:rsid w:val="00B15F62"/>
    <w:rsid w:val="00B22AEA"/>
    <w:rsid w:val="00B31B7A"/>
    <w:rsid w:val="00B45355"/>
    <w:rsid w:val="00BE2274"/>
    <w:rsid w:val="00C669F5"/>
    <w:rsid w:val="00CB3CB9"/>
    <w:rsid w:val="00CF3C22"/>
    <w:rsid w:val="00D1238F"/>
    <w:rsid w:val="00D17519"/>
    <w:rsid w:val="00D30A06"/>
    <w:rsid w:val="00D749D0"/>
    <w:rsid w:val="00DE5DBD"/>
    <w:rsid w:val="00E071E3"/>
    <w:rsid w:val="00E179B2"/>
    <w:rsid w:val="00E40F5F"/>
    <w:rsid w:val="00E60DF0"/>
    <w:rsid w:val="00E643D7"/>
    <w:rsid w:val="00E8486F"/>
    <w:rsid w:val="00EB7EAD"/>
    <w:rsid w:val="00ED295D"/>
    <w:rsid w:val="00ED4981"/>
    <w:rsid w:val="00F5023D"/>
    <w:rsid w:val="00F76C30"/>
    <w:rsid w:val="00F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C68BFD"/>
  <w15:chartTrackingRefBased/>
  <w15:docId w15:val="{CF4E5406-1911-4A96-B0F3-32C023D7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l1">
    <w:name w:val="Normál1"/>
    <w:basedOn w:val="Normal"/>
    <w:rsid w:val="000F4EB5"/>
    <w:pPr>
      <w:spacing w:before="100" w:beforeAutospacing="1" w:after="100" w:afterAutospacing="1"/>
    </w:pPr>
  </w:style>
  <w:style w:type="table" w:styleId="TableGrid">
    <w:name w:val="Table Grid"/>
    <w:basedOn w:val="TableNormal"/>
    <w:rsid w:val="000F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432F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086F5C"/>
    <w:rPr>
      <w:color w:val="0000FF"/>
      <w:u w:val="single"/>
    </w:rPr>
  </w:style>
  <w:style w:type="character" w:customStyle="1" w:styleId="bold">
    <w:name w:val="bold"/>
    <w:basedOn w:val="DefaultParagraphFont"/>
    <w:rsid w:val="00037AF2"/>
  </w:style>
  <w:style w:type="paragraph" w:customStyle="1" w:styleId="Default">
    <w:name w:val="Default"/>
    <w:rsid w:val="002E0D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31B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1B7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6D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693E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3E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E3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3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3E32"/>
    <w:rPr>
      <w:b/>
      <w:bCs/>
    </w:rPr>
  </w:style>
  <w:style w:type="paragraph" w:styleId="Header">
    <w:name w:val="header"/>
    <w:basedOn w:val="Normal"/>
    <w:link w:val="HeaderChar"/>
    <w:rsid w:val="004C7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C7F1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C7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HOZZÁRULÓ NYILATKOZAT</vt:lpstr>
    </vt:vector>
  </TitlesOfParts>
  <Company/>
  <LinksUpToDate>false</LinksUpToDate>
  <CharactersWithSpaces>6404</CharactersWithSpaces>
  <SharedDoc>false</SharedDoc>
  <HLinks>
    <vt:vector size="12" baseType="variant">
      <vt:variant>
        <vt:i4>6422651</vt:i4>
      </vt:variant>
      <vt:variant>
        <vt:i4>3</vt:i4>
      </vt:variant>
      <vt:variant>
        <vt:i4>0</vt:i4>
      </vt:variant>
      <vt:variant>
        <vt:i4>5</vt:i4>
      </vt:variant>
      <vt:variant>
        <vt:lpwstr>http://www.onadozo.hu/</vt:lpwstr>
      </vt:variant>
      <vt:variant>
        <vt:lpwstr/>
      </vt:variant>
      <vt:variant>
        <vt:i4>7274550</vt:i4>
      </vt:variant>
      <vt:variant>
        <vt:i4>0</vt:i4>
      </vt:variant>
      <vt:variant>
        <vt:i4>0</vt:i4>
      </vt:variant>
      <vt:variant>
        <vt:i4>5</vt:i4>
      </vt:variant>
      <vt:variant>
        <vt:lpwstr>http://www.drszabotibor.hu/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HOZZÁRULÓ NYILATKOZAT</dc:title>
  <dc:subject/>
  <dc:creator>user</dc:creator>
  <cp:keywords/>
  <dc:description/>
  <cp:lastModifiedBy>Gergely Cziva</cp:lastModifiedBy>
  <cp:revision>10</cp:revision>
  <cp:lastPrinted>2018-07-18T15:04:00Z</cp:lastPrinted>
  <dcterms:created xsi:type="dcterms:W3CDTF">2023-03-28T19:31:00Z</dcterms:created>
  <dcterms:modified xsi:type="dcterms:W3CDTF">2023-03-30T09:41:00Z</dcterms:modified>
</cp:coreProperties>
</file>