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Merchant-Ready Website Blueprint</w:t>
      </w:r>
    </w:p>
    <w:p>
      <w:pPr>
        <w:jc w:val="center"/>
      </w:pPr>
      <w:r>
        <w:t>For Easypaisa &amp; JazzCash Approval • IT Services (SMC-Private Limited)</w:t>
      </w:r>
    </w:p>
    <w:p>
      <w:pPr>
        <w:jc w:val="center"/>
      </w:pPr>
      <w:r>
        <w:t>Prepared on: 04 Oct 2025</w:t>
      </w:r>
    </w:p>
    <w:p/>
    <w:p>
      <w:pPr>
        <w:pStyle w:val="Heading1"/>
      </w:pPr>
      <w:r>
        <w:t>Purpose</w:t>
      </w:r>
    </w:p>
    <w:p>
      <w:pPr>
        <w:spacing w:after="120"/>
      </w:pPr>
      <w:r>
        <w:t>This document gives your web developer a precise specification to build a low-risk, compliant website that aligns with your SECP objects and satisfies the checklist typically used by Easypaisa/JazzCash merchant onboarding teams.</w:t>
      </w:r>
    </w:p>
    <w:p>
      <w:pPr>
        <w:pStyle w:val="Heading1"/>
      </w:pPr>
      <w:r>
        <w:t>1) Business Model (Low-Risk, IT-Services)</w:t>
      </w:r>
    </w:p>
    <w:p>
      <w:pPr>
        <w:pStyle w:val="ListBullet"/>
      </w:pPr>
      <w:r>
        <w:t>Software &amp; Web Development: corporate websites, e-commerce builds, custom apps, API &amp; payment integrations.</w:t>
      </w:r>
    </w:p>
    <w:p>
      <w:pPr>
        <w:pStyle w:val="ListBullet"/>
      </w:pPr>
      <w:r>
        <w:t>SaaS / Licenses: hosted tools (ticketing, CRM lite, inventory), monthly/annual billing.</w:t>
      </w:r>
    </w:p>
    <w:p>
      <w:pPr>
        <w:pStyle w:val="ListBullet"/>
      </w:pPr>
      <w:r>
        <w:t>Maintenance &amp; Support Plans: Bronze/Silver/Gold with fixed PKR pricing and clear response times.</w:t>
      </w:r>
    </w:p>
    <w:p>
      <w:pPr>
        <w:pStyle w:val="ListBullet"/>
      </w:pPr>
      <w:r>
        <w:t>Training &amp; Consulting: short courses, corporate training, hourly consulting (scope-bound).</w:t>
      </w:r>
    </w:p>
    <w:p>
      <w:pPr>
        <w:pStyle w:val="ListBullet"/>
      </w:pPr>
      <w:r>
        <w:t>Hosting &amp; Domains (Reseller): pricing and renewal terms clearly published.</w:t>
      </w:r>
    </w:p>
    <w:p>
      <w:pPr>
        <w:pStyle w:val="ListBullet"/>
      </w:pPr>
      <w:r>
        <w:t>Optional Hardware/Peripherals only if actually supplied: show models, warranties, and delivery terms.</w:t>
      </w:r>
    </w:p>
    <w:p>
      <w:pPr>
        <w:pStyle w:val="ListBullet"/>
      </w:pPr>
      <w:r>
        <w:t>Explicitly exclude high-risk use cases: wallets, remittances, forex/CFD/crypto, gambling, donations, third-party payouts.</w:t>
      </w:r>
    </w:p>
    <w:p>
      <w:pPr>
        <w:pStyle w:val="Heading1"/>
      </w:pPr>
      <w:r>
        <w:t>2) Site Map &amp; Mandatory Pages</w:t>
      </w:r>
    </w:p>
    <w:p>
      <w:pPr>
        <w:pStyle w:val="ListBullet"/>
      </w:pPr>
      <w:r>
        <w:t>Home: value proposition, starter prices, strong call-to-action.</w:t>
      </w:r>
    </w:p>
    <w:p>
      <w:pPr>
        <w:pStyle w:val="ListBullet"/>
      </w:pPr>
      <w:r>
        <w:t>Products/Services: itemized SKUs with PKR prices, features, and delivery timelines.</w:t>
      </w:r>
    </w:p>
    <w:p>
      <w:pPr>
        <w:pStyle w:val="ListBullet"/>
      </w:pPr>
      <w:r>
        <w:t>Order / Checkout Demo: simple flow with test item (can be offline until gateway live).</w:t>
      </w:r>
    </w:p>
    <w:p>
      <w:pPr>
        <w:pStyle w:val="ListBullet"/>
      </w:pPr>
      <w:r>
        <w:t>About Company: legal name (as per SECP), incorporation number, NTN, registered address.</w:t>
      </w:r>
    </w:p>
    <w:p>
      <w:pPr>
        <w:pStyle w:val="ListBullet"/>
      </w:pPr>
      <w:r>
        <w:t>Contact: phone, support email (e.g., support@yourdomain.com), office map, response hours.</w:t>
      </w:r>
    </w:p>
    <w:p>
      <w:pPr>
        <w:pStyle w:val="ListBullet"/>
      </w:pPr>
      <w:r>
        <w:t>Terms &amp; Conditions: scope, IP ownership, acceptance/sign-off, warranty, support limits.</w:t>
      </w:r>
    </w:p>
    <w:p>
      <w:pPr>
        <w:pStyle w:val="ListBullet"/>
      </w:pPr>
      <w:r>
        <w:t>Refund &amp; Cancellation Policy: windows, pro-rata logic, method and timing of refunds.</w:t>
      </w:r>
    </w:p>
    <w:p>
      <w:pPr>
        <w:pStyle w:val="ListBullet"/>
      </w:pPr>
      <w:r>
        <w:t>Privacy Policy: data collected, purpose, retention, deletion contact.</w:t>
      </w:r>
    </w:p>
    <w:p>
      <w:pPr>
        <w:pStyle w:val="ListBullet"/>
      </w:pPr>
      <w:r>
        <w:t>Delivery Policy (Digital): how work is delivered (repo, email, deployment), typical timelines.</w:t>
      </w:r>
    </w:p>
    <w:p>
      <w:pPr>
        <w:pStyle w:val="ListBullet"/>
      </w:pPr>
      <w:r>
        <w:t>Pricing/Taxes: PKR, inclusive/exclusive of sales tax, STRN shown if registered.</w:t>
      </w:r>
    </w:p>
    <w:p>
      <w:pPr>
        <w:pStyle w:val="ListBullet"/>
      </w:pPr>
      <w:r>
        <w:t>FAQ: payment, invoices, support hours, escalation contacts.</w:t>
      </w:r>
    </w:p>
    <w:p>
      <w:pPr>
        <w:pStyle w:val="ListBullet"/>
      </w:pPr>
      <w:r>
        <w:t>Portfolio/Case Studies: 3–6 projects, screenshots, testimonials (with permission).</w:t>
      </w:r>
    </w:p>
    <w:p>
      <w:pPr>
        <w:pStyle w:val="ListBullet"/>
      </w:pPr>
      <w:r>
        <w:t>Compliance/AUP: statement that prohibited categories are not accepted.</w:t>
      </w:r>
    </w:p>
    <w:p>
      <w:pPr>
        <w:pStyle w:val="Heading2"/>
      </w:pPr>
      <w:r>
        <w:t>Technical Basics</w:t>
      </w:r>
    </w:p>
    <w:p>
      <w:pPr>
        <w:pStyle w:val="ListBullet"/>
      </w:pPr>
      <w:r>
        <w:t>SSL (HTTPS) enforced, no mixed-content warnings.</w:t>
      </w:r>
    </w:p>
    <w:p>
      <w:pPr>
        <w:pStyle w:val="ListBullet"/>
      </w:pPr>
      <w:r>
        <w:t>Functional domain (no “coming soon”).</w:t>
      </w:r>
    </w:p>
    <w:p>
      <w:pPr>
        <w:pStyle w:val="ListBullet"/>
      </w:pPr>
      <w:r>
        <w:t>Working contact form and business email (no personal Gmail for support).</w:t>
      </w:r>
    </w:p>
    <w:p>
      <w:pPr>
        <w:pStyle w:val="ListBullet"/>
      </w:pPr>
      <w:r>
        <w:t>Visible sample invoice screenshot (company name, NTN, unique invoice number, amount).</w:t>
      </w:r>
    </w:p>
    <w:p>
      <w:pPr>
        <w:pStyle w:val="ListBullet"/>
      </w:pPr>
      <w:r>
        <w:t>Footer: © YEAR • Legal Name (SMC-Pvt) • SECP/NTN • links to all policies.</w:t>
      </w:r>
    </w:p>
    <w:p>
      <w:pPr>
        <w:pStyle w:val="Heading1"/>
      </w:pPr>
      <w:r>
        <w:t>3) Product &amp; Pricing Examples (Edit as Needed)</w:t>
      </w:r>
    </w:p>
    <w:p>
      <w:pPr>
        <w:pStyle w:val="ListBullet"/>
      </w:pPr>
      <w:r>
        <w:t>Starter Website — PKR 65,000: up to 5 pages, responsive design, 2 revisions, 2-week delivery.</w:t>
      </w:r>
    </w:p>
    <w:p>
      <w:pPr>
        <w:pStyle w:val="ListBullet"/>
      </w:pPr>
      <w:r>
        <w:t>E-Commerce Launch — PKR 145,000: up to 20 products, payment integration, shipping rules, training.</w:t>
      </w:r>
    </w:p>
    <w:p>
      <w:pPr>
        <w:pStyle w:val="ListBullet"/>
      </w:pPr>
      <w:r>
        <w:t>Custom API Integration — from PKR 80,000: discovery + SRS + implementation + testing.</w:t>
      </w:r>
    </w:p>
    <w:p>
      <w:pPr>
        <w:pStyle w:val="ListBullet"/>
      </w:pPr>
      <w:r>
        <w:t>Android/iOS App (MVP) — from PKR 350,000: scoped features, 8–10 weeks.</w:t>
      </w:r>
    </w:p>
    <w:p>
      <w:pPr>
        <w:pStyle w:val="ListBullet"/>
      </w:pPr>
      <w:r>
        <w:t>Maintenance Plans: Bronze PKR 7,500/mo (2 hrs), Silver PKR 18,000/mo (6 hrs), Gold PKR 35,000/mo (12 hrs, priority).</w:t>
      </w:r>
    </w:p>
    <w:p>
      <w:pPr>
        <w:pStyle w:val="ListBullet"/>
      </w:pPr>
      <w:r>
        <w:t>Training: Web Dev Bootcamp (12 hrs) PKR 18,000/person; Corporate On-Site PKR 55,000/day.</w:t>
      </w:r>
    </w:p>
    <w:p>
      <w:pPr>
        <w:pStyle w:val="Heading2"/>
      </w:pPr>
      <w:r>
        <w:t>Each product card should show:</w:t>
      </w:r>
    </w:p>
    <w:p>
      <w:pPr>
        <w:pStyle w:val="ListBullet"/>
      </w:pPr>
      <w:r>
        <w:t>Deliverables, timeline, revision limits, acceptance/sign-off steps.</w:t>
      </w:r>
    </w:p>
    <w:p>
      <w:pPr>
        <w:pStyle w:val="ListBullet"/>
      </w:pPr>
      <w:r>
        <w:t>Clear PKR price and tax note (NTN/STRN).</w:t>
      </w:r>
    </w:p>
    <w:p>
      <w:pPr>
        <w:pStyle w:val="ListBullet"/>
      </w:pPr>
      <w:r>
        <w:t>“Add to Cart” or “Pay Invoice” button linking to checkout/demo.</w:t>
      </w:r>
    </w:p>
    <w:p>
      <w:pPr>
        <w:pStyle w:val="Heading1"/>
      </w:pPr>
      <w:r>
        <w:t>4) Copy-and-Paste Policy Templates</w:t>
      </w:r>
    </w:p>
    <w:p>
      <w:pPr>
        <w:pStyle w:val="Heading2"/>
      </w:pPr>
      <w:r>
        <w:t>Refund &amp; Cancellation</w:t>
      </w:r>
    </w:p>
    <w:p>
      <w:pPr>
        <w:spacing w:after="120"/>
      </w:pPr>
      <w:r>
        <w:t>Services not started: full refund within 7 days of payment. Services in progress: pro-rata refund for unconsumed scope; discovery/SRS time is non-refundable. Digital licenses/hosting once provisioned: non-refundable for the current billing cycle. Refund method: original payment route within 7–10 business days. For disputes, contact billing@yourdomain.com; we respond within 48 business hours.</w:t>
      </w:r>
    </w:p>
    <w:p>
      <w:pPr>
        <w:pStyle w:val="Heading2"/>
      </w:pPr>
      <w:r>
        <w:t>Delivery (Digital Services)</w:t>
      </w:r>
    </w:p>
    <w:p>
      <w:pPr>
        <w:spacing w:after="120"/>
      </w:pPr>
      <w:r>
        <w:t>Websites/apps are delivered via a staging server or repository. Acceptance occurs on UAT sign-off. Licenses are provisioned within 24–72 hours after payment confirmation. Training is delivered on scheduled dates shared by email/calendar invite.</w:t>
      </w:r>
    </w:p>
    <w:p>
      <w:pPr>
        <w:pStyle w:val="Heading2"/>
      </w:pPr>
      <w:r>
        <w:t>Acceptable Use / Prohibited Payments</w:t>
      </w:r>
    </w:p>
    <w:p>
      <w:pPr>
        <w:spacing w:after="120"/>
      </w:pPr>
      <w:r>
        <w:t>We process payments only for our own IT services and products. We do not accept payments for crypto, forex/CFD, binary options, remittances/wallet top-ups, person-to-person transfers, gambling, adult content, firearms, pharmaceuticals, donations/charity, or any third-party settlements.</w:t>
      </w:r>
    </w:p>
    <w:p>
      <w:pPr>
        <w:pStyle w:val="Heading2"/>
      </w:pPr>
      <w:r>
        <w:t>Privacy (Summary)</w:t>
      </w:r>
    </w:p>
    <w:p>
      <w:pPr>
        <w:spacing w:after="120"/>
      </w:pPr>
      <w:r>
        <w:t>We collect name, email, phone, and billing address for invoicing and support. Data is not sold. Third-party processors are limited to payment and hosting providers. Data retention follows applicable tax laws. Deletion requests can be sent to privacy@yourdomain.com.</w:t>
      </w:r>
    </w:p>
    <w:p>
      <w:pPr>
        <w:pStyle w:val="Heading1"/>
      </w:pPr>
      <w:r>
        <w:t>5) Documents to Prepare for Merchant Onboarding</w:t>
      </w:r>
    </w:p>
    <w:p>
      <w:pPr>
        <w:pStyle w:val="ListBullet"/>
      </w:pPr>
      <w:r>
        <w:t>SECP Certificate of Incorporation (SMC-Pvt).</w:t>
      </w:r>
    </w:p>
    <w:p>
      <w:pPr>
        <w:pStyle w:val="ListBullet"/>
      </w:pPr>
      <w:r>
        <w:t>Latest forms listing director/beneficial owner (e.g., Form-29/30 or equivalent).</w:t>
      </w:r>
    </w:p>
    <w:p>
      <w:pPr>
        <w:pStyle w:val="ListBullet"/>
      </w:pPr>
      <w:r>
        <w:t>NTN certificate (and STRN if registered).</w:t>
      </w:r>
    </w:p>
    <w:p>
      <w:pPr>
        <w:pStyle w:val="ListBullet"/>
      </w:pPr>
      <w:r>
        <w:t>Bank account letter or cancelled cheque — account title must match company name.</w:t>
      </w:r>
    </w:p>
    <w:p>
      <w:pPr>
        <w:pStyle w:val="ListBullet"/>
      </w:pPr>
      <w:r>
        <w:t>Authorized signatory CNIC + authorization letter.</w:t>
      </w:r>
    </w:p>
    <w:p>
      <w:pPr>
        <w:pStyle w:val="ListBullet"/>
      </w:pPr>
      <w:r>
        <w:t>Website URL (live) + test order page.</w:t>
      </w:r>
    </w:p>
    <w:p>
      <w:pPr>
        <w:pStyle w:val="ListBullet"/>
      </w:pPr>
      <w:r>
        <w:t>Business profile (2–3 pages): services, clients, screenshots.</w:t>
      </w:r>
    </w:p>
    <w:p>
      <w:pPr>
        <w:pStyle w:val="ListBullet"/>
      </w:pPr>
      <w:r>
        <w:t>Sample invoice and Service Agreement/SoW template.</w:t>
      </w:r>
    </w:p>
    <w:p>
      <w:pPr>
        <w:pStyle w:val="ListBullet"/>
      </w:pPr>
      <w:r>
        <w:t>Support SOP: response times and escalation contacts.</w:t>
      </w:r>
    </w:p>
    <w:p>
      <w:pPr>
        <w:pStyle w:val="Heading2"/>
      </w:pPr>
      <w:r>
        <w:t>Pro Tips</w:t>
      </w:r>
    </w:p>
    <w:p>
      <w:pPr>
        <w:pStyle w:val="ListBullet"/>
      </w:pPr>
      <w:r>
        <w:t>Use a .com.pk/.pk or clean .com; make WHOIS/admin email align with your company.</w:t>
      </w:r>
    </w:p>
    <w:p>
      <w:pPr>
        <w:pStyle w:val="ListBullet"/>
      </w:pPr>
      <w:r>
        <w:t>Ensure settlement bank account name exactly matches SECP company name.</w:t>
      </w:r>
    </w:p>
    <w:p>
      <w:pPr>
        <w:pStyle w:val="ListBullet"/>
      </w:pPr>
      <w:r>
        <w:t>Add Google Business Profile or office photos for credibility on the Contact page.</w:t>
      </w:r>
    </w:p>
    <w:p>
      <w:pPr>
        <w:pStyle w:val="Heading1"/>
      </w:pPr>
      <w:r>
        <w:t>6) Checkout &amp; Tech Readiness (Before Applying)</w:t>
      </w:r>
    </w:p>
    <w:p>
      <w:pPr>
        <w:pStyle w:val="ListBullet"/>
      </w:pPr>
      <w:r>
        <w:t>Unique sequential Order IDs stored server-side.</w:t>
      </w:r>
    </w:p>
    <w:p>
      <w:pPr>
        <w:pStyle w:val="ListBullet"/>
      </w:pPr>
      <w:r>
        <w:t>Webhook/Return URLs prepared: /payment/success, /payment/fail, /payment/webhook.</w:t>
      </w:r>
    </w:p>
    <w:p>
      <w:pPr>
        <w:pStyle w:val="ListBullet"/>
      </w:pPr>
      <w:r>
        <w:t>Verify HMAC/signatures if provided by gateway; server clock in UTC.</w:t>
      </w:r>
    </w:p>
    <w:p>
      <w:pPr>
        <w:pStyle w:val="ListBullet"/>
      </w:pPr>
      <w:r>
        <w:t>HTTPS enforced; TLS 1.2+; send receipt page + email with invoice no., amount, timestamp, and support contact.</w:t>
      </w:r>
    </w:p>
    <w:p>
      <w:pPr>
        <w:pStyle w:val="ListBullet"/>
      </w:pPr>
      <w:r>
        <w:t>Create a test page (/checkout/demo) with a Rs. 10/50 sandbox item.</w:t>
      </w:r>
    </w:p>
    <w:p>
      <w:pPr>
        <w:pStyle w:val="ListBullet"/>
      </w:pPr>
      <w:r>
        <w:t>Cookie consent banner and privacy link in footer of every page.</w:t>
      </w:r>
    </w:p>
    <w:p>
      <w:pPr>
        <w:pStyle w:val="Heading1"/>
      </w:pPr>
      <w:r>
        <w:t>7) Domain &amp; Branding Suggestions</w:t>
      </w:r>
    </w:p>
    <w:p>
      <w:pPr>
        <w:spacing w:after="120"/>
      </w:pPr>
      <w:r>
        <w:t>Select a short, neutral, IT-centric brand. Avoid keywords like invest/forex/crypto. Create mailboxes: billing@, support@, privacy@.</w:t>
      </w:r>
    </w:p>
    <w:p>
      <w:pPr>
        <w:pStyle w:val="ListBullet"/>
      </w:pPr>
      <w:r>
        <w:t>CodeVerge Solutions</w:t>
      </w:r>
    </w:p>
    <w:p>
      <w:pPr>
        <w:pStyle w:val="ListBullet"/>
      </w:pPr>
      <w:r>
        <w:t>Nexacode Labs</w:t>
      </w:r>
    </w:p>
    <w:p>
      <w:pPr>
        <w:pStyle w:val="ListBullet"/>
      </w:pPr>
      <w:r>
        <w:t>ByteFoundry Solutions</w:t>
      </w:r>
    </w:p>
    <w:p>
      <w:pPr>
        <w:pStyle w:val="ListBullet"/>
      </w:pPr>
      <w:r>
        <w:t>OrbitLogic Systems</w:t>
      </w:r>
    </w:p>
    <w:p>
      <w:pPr>
        <w:pStyle w:val="ListBullet"/>
      </w:pPr>
      <w:r>
        <w:t>DevHarbor Technologies</w:t>
      </w:r>
    </w:p>
    <w:p>
      <w:pPr>
        <w:pStyle w:val="ListBullet"/>
      </w:pPr>
      <w:r>
        <w:t>Craftware Studios</w:t>
      </w:r>
    </w:p>
    <w:p>
      <w:pPr>
        <w:pStyle w:val="ListBullet"/>
      </w:pPr>
      <w:r>
        <w:t>GridNexus Solutions</w:t>
      </w:r>
    </w:p>
    <w:p>
      <w:pPr>
        <w:pStyle w:val="ListBullet"/>
      </w:pPr>
      <w:r>
        <w:t>StackPilot Systems</w:t>
      </w:r>
    </w:p>
    <w:p>
      <w:pPr>
        <w:pStyle w:val="ListBullet"/>
      </w:pPr>
      <w:r>
        <w:t>Softloom Technologies</w:t>
      </w:r>
    </w:p>
    <w:p>
      <w:pPr>
        <w:pStyle w:val="ListBullet"/>
      </w:pPr>
      <w:r>
        <w:t>Appsmith Labs</w:t>
      </w:r>
    </w:p>
    <w:p>
      <w:pPr>
        <w:pStyle w:val="ListBullet"/>
      </w:pPr>
      <w:r>
        <w:t>NovaLayer Solutions</w:t>
      </w:r>
    </w:p>
    <w:p>
      <w:pPr>
        <w:pStyle w:val="ListBullet"/>
      </w:pPr>
      <w:r>
        <w:t>VectorPeak Technologies</w:t>
      </w:r>
    </w:p>
    <w:p>
      <w:pPr>
        <w:pStyle w:val="ListBullet"/>
      </w:pPr>
      <w:r>
        <w:t>SiteForge Studios</w:t>
      </w:r>
    </w:p>
    <w:p>
      <w:pPr>
        <w:pStyle w:val="ListBullet"/>
      </w:pPr>
      <w:r>
        <w:t>BlueBracket Labs</w:t>
      </w:r>
    </w:p>
    <w:p>
      <w:pPr>
        <w:pStyle w:val="ListBullet"/>
      </w:pPr>
      <w:r>
        <w:t>PixelRaft Systems</w:t>
      </w:r>
    </w:p>
    <w:p>
      <w:pPr>
        <w:pStyle w:val="ListBullet"/>
      </w:pPr>
      <w:r>
        <w:t>CodeChisel Solutions</w:t>
      </w:r>
    </w:p>
    <w:p>
      <w:pPr>
        <w:pStyle w:val="ListBullet"/>
      </w:pPr>
      <w:r>
        <w:t>BrightNest Technologies</w:t>
      </w:r>
    </w:p>
    <w:p>
      <w:pPr>
        <w:pStyle w:val="ListBullet"/>
      </w:pPr>
      <w:r>
        <w:t>CoreOrbit Labs</w:t>
      </w:r>
    </w:p>
    <w:p>
      <w:pPr>
        <w:pStyle w:val="ListBullet"/>
      </w:pPr>
      <w:r>
        <w:t>HexaBridge Systems</w:t>
      </w:r>
    </w:p>
    <w:p>
      <w:pPr>
        <w:pStyle w:val="ListBullet"/>
      </w:pPr>
      <w:r>
        <w:t>PrimeBit Solutions</w:t>
      </w:r>
    </w:p>
    <w:p>
      <w:pPr>
        <w:pStyle w:val="Heading1"/>
      </w:pPr>
      <w:r>
        <w:t>8) Homepage Copy (Ready to Use)</w:t>
      </w:r>
    </w:p>
    <w:p>
      <w:pPr>
        <w:spacing w:after="120"/>
      </w:pPr>
      <w:r>
        <w:t>Hero (H1): “Modern websites, custom apps, and API integrations—delivered fast and supported locally.”</w:t>
      </w:r>
    </w:p>
    <w:p>
      <w:pPr>
        <w:spacing w:after="120"/>
      </w:pPr>
      <w:r>
        <w:t>Primary CTAs: Get a Quote → /contact  •  Pay Invoice → /pay</w:t>
      </w:r>
    </w:p>
    <w:p>
      <w:pPr>
        <w:spacing w:after="120"/>
      </w:pPr>
      <w:r>
        <w:t>Trust Row: SECP-registered (SMC-Pvt) • NTN ####### • Serving SMEs since 20XX • Process-Driven Delivery</w:t>
      </w:r>
    </w:p>
    <w:p>
      <w:pPr>
        <w:spacing w:after="120"/>
      </w:pPr>
      <w:r>
        <w:t>Badge Line: “Payments processed by licensed providers.”</w:t>
      </w:r>
    </w:p>
    <w:p>
      <w:pPr>
        <w:pStyle w:val="Heading1"/>
      </w:pPr>
      <w:r>
        <w:t>9) Red Flags That Trigger Rejections</w:t>
      </w:r>
    </w:p>
    <w:p>
      <w:pPr>
        <w:pStyle w:val="ListBullet"/>
      </w:pPr>
      <w:r>
        <w:t>Wording like: top-ups, deposits, trading accounts, crypto, forex, binary, payouts to users, remittance, donations, lottery.</w:t>
      </w:r>
    </w:p>
    <w:p>
      <w:pPr>
        <w:pStyle w:val="ListBullet"/>
      </w:pPr>
      <w:r>
        <w:t>No prices, hidden/refund policy, or “Contact for price” everywhere.</w:t>
      </w:r>
    </w:p>
    <w:p>
      <w:pPr>
        <w:pStyle w:val="ListBullet"/>
      </w:pPr>
      <w:r>
        <w:t>Personal email only, no physical address, broken pages, parked/placeholder site.</w:t>
      </w:r>
    </w:p>
    <w:p>
      <w:pPr>
        <w:pStyle w:val="ListBullet"/>
      </w:pPr>
      <w:r>
        <w:t>Account title different from company name, or attempting third-party settlements.</w:t>
      </w:r>
    </w:p>
    <w:p>
      <w:pPr>
        <w:pStyle w:val="Heading1"/>
      </w:pPr>
      <w:r>
        <w:t>10) Submission Checklist (For Go-Live)</w:t>
      </w:r>
    </w:p>
    <w:p>
      <w:pPr>
        <w:pStyle w:val="ListBullet"/>
      </w:pPr>
      <w:r>
        <w:t>[ ] Domain live, SSL, all policy pages visible</w:t>
      </w:r>
    </w:p>
    <w:p>
      <w:pPr>
        <w:pStyle w:val="ListBullet"/>
      </w:pPr>
      <w:r>
        <w:t>[ ] Fixed-price SKUs in PKR with features &amp; deliverables</w:t>
      </w:r>
    </w:p>
    <w:p>
      <w:pPr>
        <w:pStyle w:val="ListBullet"/>
      </w:pPr>
      <w:r>
        <w:t>[ ] Refund / Privacy / Delivery / Terms published</w:t>
      </w:r>
    </w:p>
    <w:p>
      <w:pPr>
        <w:pStyle w:val="ListBullet"/>
      </w:pPr>
      <w:r>
        <w:t>[ ] Contact page with phone, email, address, map, business hours</w:t>
      </w:r>
    </w:p>
    <w:p>
      <w:pPr>
        <w:pStyle w:val="ListBullet"/>
      </w:pPr>
      <w:r>
        <w:t>[ ] Demo checkout page and sample invoice</w:t>
      </w:r>
    </w:p>
    <w:p>
      <w:pPr>
        <w:pStyle w:val="ListBullet"/>
      </w:pPr>
      <w:r>
        <w:t>[ ] Company details in footer (legal name, SECP no., NTN)</w:t>
      </w:r>
    </w:p>
    <w:p>
      <w:pPr>
        <w:pStyle w:val="ListBullet"/>
      </w:pPr>
      <w:r>
        <w:t>[ ] Docs folder: SECP, NTN, bank letter, signatory CNIC, authorization</w:t>
      </w:r>
    </w:p>
    <w:p>
      <w:pPr>
        <w:pStyle w:val="ListBullet"/>
      </w:pPr>
      <w:r>
        <w:t>[ ] No banned categories anywhere on site or socials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