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 xml:space="preserve">Адаптивная сборка проверочной работы</w:t>
      </w:r>
    </w:p>
    <w:p>
      <w:pPr>
        <w:pStyle w:val="Normal"/>
      </w:pPr>
      <w:r>
        <w:t>На основе заданий из проверочной работы от 21.09.2026</w:t>
      </w:r>
    </w:p>
    <w:p>
      <w:pPr>
        <w:pStyle w:val="Normal"/>
      </w:pPr>
      <w:r>
        <w:t>Фактическое время на выполнение работы составляет 35 минут. При 40-минутной продолжительности урока в МБОУ «СШ № 56» до 5 минут отводится на организационные процедуры (инструктаж, раздачу и сбор материалов). Проверочные работы, рассчитанные на 40 минут чистой работы, методически предназначены для учебных заведений с 45-минутным уроком.</w:t>
      </w:r>
    </w:p>
    <w:p>
      <w:pPr>
        <w:pStyle w:val="Normal"/>
        <w:spacing w:before="60" w:after="120"/>
      </w:pPr>
      <w:r>
        <w:rPr>
          <w:rFonts w:ascii="Times New Roman" w:hAnsi="Times New Roman"/>
          <w:b w:val="0"/>
          <w:bCs/>
        </w:rPr>
        <w:t>Всего набрано баллов — 14 из 27 / 52 %. Отметка «4» по Кульковой.</w:t>
      </w:r>
    </w:p>
    <w:tbl>
      <w:tblPr>
        <w:tblStyle w:val="TableGrid"/>
        <w:tblW w:type="dxa" w:w="8640"/>
        <w:tblLook w:firstColumn="1" w:firstRow="1" w:lastColumn="0" w:lastRow="0" w:noHBand="0" w:noVBand="1" w:val="04A0"/>
        <w:tblLayout w:type="fixed"/>
      </w:tblPr>
      <w:tblGrid>
        <w:gridCol w:w="398"/>
        <w:gridCol w:w="994"/>
        <w:gridCol w:w="3262"/>
        <w:gridCol w:w="1570"/>
        <w:gridCol w:w="439"/>
        <w:gridCol w:w="889"/>
        <w:gridCol w:w="1088"/>
      </w:tblGrid>
      <w:tr>
        <w:tc>
          <w:tcPr>
            <w:tcW w:type="dxa" w:w="398"/>
          </w:tcPr>
          <w:p>
            <w:r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  <w:b/>
              </w:rPr>
              <w:t>Курс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  <w:b/>
              </w:rPr>
              <w:t>Вопрос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  <w:b/>
              </w:rPr>
              <w:t>Сложность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  <w:b/>
              </w:rPr>
              <w:t>Результат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  <w:b/>
              </w:rPr>
              <w:t>Баллы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1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История России. XVI–XVII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1) В каком году Иван IV венчался на царство?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</w:rPr>
              <w:t xml:space="preserve">Знание фактов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Б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+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1 / 1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2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История России. XVI–XVII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2) Как назывался неофициальный круг приближённых Ивана IV, проводивший реформы в 1550-е гг.?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</w:rPr>
              <w:t xml:space="preserve">Знание фактов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Б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+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1 / 1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3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История России. XVI–XVII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3) Какое событие произошло раньше других?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</w:rPr>
              <w:t>Установление последовательности событий, явлений, процессов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>П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+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1 / 2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4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История России. XVI–XVII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5) Что было одной из причин принятия Иваном IV опричнины?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</w:rPr>
              <w:t xml:space="preserve">Знание причин и следствий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Б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+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1 / 1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5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История России. XVI–XVII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9) Как звали землепроходца, который в 1648 г. прошёл проливом между Азией и Америкой?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  <w:b w:val="0"/>
              </w:rPr>
              <w:t xml:space="preserve">Знание фактов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Б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+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1 / 1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6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История России. XVI–XVII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11) Кто был главой Второго ополчения в 1611-1612 гг.?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</w:rPr>
              <w:t xml:space="preserve">Знание фактов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Б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+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1 / 1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7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История России. XVI–XVII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14) В каком году состоялась Переяславская рада, принявшая решение о воссоединении Украины с Россией?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</w:rPr>
              <w:t xml:space="preserve">Знание фактов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Б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+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1 / 1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8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История России. XVI–XVII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25) Прочитайте отрывок из документа и ответьте на вопросы.</w:t>
            </w:r>
          </w:p>
          <w:p>
            <w:r>
              <w:rPr>
                <w:rFonts w:ascii="Times New Roman" w:hAnsi="Times New Roman"/>
              </w:rPr>
              <w:t xml:space="preserve">О каком событии идёт речь?</w:t>
            </w:r>
          </w:p>
          <w:p>
            <w:r>
              <w:rPr>
                <w:rFonts w:ascii="Times New Roman" w:hAnsi="Times New Roman"/>
              </w:rPr>
              <w:t xml:space="preserve">В каком году оно произошло?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</w:rPr>
              <w:t xml:space="preserve">Поиск информации в источнике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П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+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1 / 2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9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Новая история зарубежных стран в XVI–XVIII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2) Первое кругосветное путешествие организовал: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</w:rPr>
              <w:t xml:space="preserve">Знание фактов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Б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+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1 / 1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10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Новая история зарубежных стран в XVI–XVIII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3) Развернувшееся в XVI в. движение за обновление церкви называлось: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</w:rPr>
              <w:t xml:space="preserve">Знание фактов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Б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+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1 / 1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11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Новая история зарубежных стран в XVI–XVIII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4) Абсолютную монархию характеризует выражение: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</w:rPr>
              <w:t xml:space="preserve">Знание фактов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Б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+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1 / 1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12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Новая история зарубежных стран в XVI–XVIII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6) Какую форму правления характеризует выражение «Государство — это я!»?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</w:rPr>
              <w:t xml:space="preserve">Знание фактов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Б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+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1 / 1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13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Новая история зарубежных стран в XVI–XVIII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7) Найдите соответствие.</w:t>
            </w:r>
          </w:p>
          <w:p>
            <w:r>
              <w:rPr>
                <w:rFonts w:ascii="Times New Roman" w:hAnsi="Times New Roman"/>
              </w:rPr>
              <w:t xml:space="preserve">1. Христофор Колумб; 2. Мартин Лютер; 3. Елизавета; 4. Леонардо да Винчи; 5. Томас Мор.</w:t>
            </w:r>
          </w:p>
          <w:p>
            <w:r>
              <w:rPr>
                <w:rFonts w:ascii="Times New Roman" w:hAnsi="Times New Roman"/>
              </w:rPr>
              <w:t xml:space="preserve">А) Родоначальник Реформации в Германии; Б) Художник, изобретатель эпохи Возрождения; В) Первооткрыватель Центральной Америки и северного побережья Южной Америки; Г) Английский канцлер, автор романа «Утопия»; Д) Монарх, при котором был установлен абсолютизм в Англии.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  <w:b w:val="0"/>
              </w:rPr>
              <w:t xml:space="preserve">Систематизация исторической информации по истории культуры (деятели культуры)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П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частично верно, 1 из 5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0 / 2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14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Новая история зарубежных стран в XVI–XVIII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10) Каковы последствия Великих географических открытий? Укажите два верных ответа из пяти предложенных.</w:t>
            </w:r>
          </w:p>
          <w:p>
            <w:r>
              <w:rPr>
                <w:rFonts w:ascii="Times New Roman" w:hAnsi="Times New Roman"/>
              </w:rPr>
              <w:t xml:space="preserve">1) началась эпоха Крестовых походов; 2) стал складываться единый мировой рынок; 3) возросло значение Венеции и Генуи; 4) стали возникать первые колониальные империи; 5) уменьшилось количество золота, привозимого в Европу.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</w:rPr>
              <w:t xml:space="preserve">Систематизация фактов, понятий (множественный выбор)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П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частично верно, 1 из 2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1 / 2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15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Новая история зарубежных стран в XVI–XVIII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11) Какие факты свидетельствуют о развитии капитализма в раннее Новое время? Укажите два верных ответа из пяти предложенных.</w:t>
            </w:r>
          </w:p>
          <w:p>
            <w:r>
              <w:rPr>
                <w:rFonts w:ascii="Times New Roman" w:hAnsi="Times New Roman"/>
              </w:rPr>
              <w:t xml:space="preserve">1) появление мануфактур; 2) крепостная зависимость крестьян; 3) существование натурального хозяйства; 4) увеличение количества наёмных рабочих; 5) создание крупного машинного производства.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</w:rPr>
              <w:t xml:space="preserve">Систематизация фактов, понятий (множественный выбор)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П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частично верно, 1 из 2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1 / 2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16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История России. XVI–XVII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15) Укажите имя противника церковной реформы, главу старообрядцев.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  <w:b w:val="0"/>
              </w:rPr>
              <w:t xml:space="preserve">Знание фактов истории церкви и культуры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Б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−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0 / 1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17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История России. XVI–XVII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21) Установите соответствие между событиями и датами.</w:t>
            </w:r>
          </w:p>
          <w:p>
            <w:r>
              <w:rPr>
                <w:rFonts w:ascii="Times New Roman" w:hAnsi="Times New Roman"/>
              </w:rPr>
              <w:t xml:space="preserve">События: А) Взятие Казани; Б) Начало опричнины; В) Учреждение патриаршества; Г) Избрание Михаила Романова на царство.</w:t>
            </w:r>
          </w:p>
          <w:p>
            <w:r>
              <w:rPr>
                <w:rFonts w:ascii="Times New Roman" w:hAnsi="Times New Roman"/>
              </w:rPr>
              <w:t xml:space="preserve">Даты: 1) 1589 г.; 2) 1552 г.; 3) 1613 г.; 4) 1565 г.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</w:rPr>
              <w:t xml:space="preserve">Систематизация исторической информации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П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−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0 / 2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18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История России. XVI–XVII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23) Расположите в хронологической последовательности следующие события.</w:t>
            </w:r>
          </w:p>
          <w:p>
            <w:r>
              <w:rPr>
                <w:rFonts w:ascii="Times New Roman" w:hAnsi="Times New Roman"/>
              </w:rPr>
              <w:t xml:space="preserve">А) Принятие Соборного уложения; Б) Соляной бунт в Москве; В) Медный бунт в Москве; Г) Восстание под руководством Степана Разина.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</w:rPr>
              <w:t xml:space="preserve">Установление последовательности событий, явлений, процессов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П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−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0 / 2</w:t>
            </w:r>
          </w:p>
        </w:tc>
      </w:tr>
      <w:tr>
        <w:tc>
          <w:tcPr>
            <w:tcW w:type="dxa" w:w="398"/>
          </w:tcPr>
          <w:p>
            <w:r>
              <w:rPr>
                <w:rFonts w:ascii="Times New Roman" w:hAnsi="Times New Roman"/>
              </w:rPr>
              <w:t xml:space="preserve">19</w:t>
            </w:r>
          </w:p>
        </w:tc>
        <w:tc>
          <w:tcPr>
            <w:tcW w:type="dxa" w:w="994"/>
          </w:tcPr>
          <w:p>
            <w:r>
              <w:rPr>
                <w:rFonts w:ascii="Times New Roman" w:hAnsi="Times New Roman"/>
              </w:rPr>
              <w:t xml:space="preserve">История России. XVI–XVII вв.</w:t>
            </w:r>
          </w:p>
        </w:tc>
        <w:tc>
          <w:tcPr>
            <w:tcW w:type="dxa" w:w="3262"/>
          </w:tcPr>
          <w:p>
            <w:r>
              <w:rPr>
                <w:rFonts w:ascii="Times New Roman" w:hAnsi="Times New Roman"/>
              </w:rPr>
              <w:t xml:space="preserve">(№ 19) Запишите термин, о котором идёт речь.</w:t>
            </w:r>
          </w:p>
          <w:p>
            <w:r>
              <w:rPr>
                <w:rFonts w:ascii="Times New Roman" w:hAnsi="Times New Roman"/>
              </w:rPr>
              <w:t xml:space="preserve">1) «Повинность, сбор с крестьян при уходе от землевладельца в Юрьев день».</w:t>
            </w:r>
          </w:p>
          <w:p>
            <w:r>
              <w:rPr>
                <w:rFonts w:ascii="Times New Roman" w:hAnsi="Times New Roman"/>
              </w:rPr>
              <w:t xml:space="preserve">2) «В XVII–XVIII вв. — название дохода с имения, постоянного места жительства и занятий, не приписанных к тяглу или службе».</w:t>
            </w:r>
          </w:p>
          <w:p>
            <w:r>
              <w:rPr>
                <w:rFonts w:ascii="Times New Roman" w:hAnsi="Times New Roman"/>
              </w:rPr>
              <w:t xml:space="preserve">3) Бесплатный принудительный труд крестьян на землевладельца.</w:t>
            </w:r>
          </w:p>
          <w:p>
            <w:r>
              <w:rPr>
                <w:rFonts w:ascii="Times New Roman" w:hAnsi="Times New Roman"/>
              </w:rPr>
              <w:t xml:space="preserve">4) Форма феодального землевладения, которая давалась за службу и не передавалась по наследству (в отличие от вотчины).</w:t>
            </w:r>
          </w:p>
          <w:p>
            <w:r>
              <w:rPr>
                <w:rFonts w:ascii="Times New Roman" w:hAnsi="Times New Roman"/>
              </w:rPr>
              <w:t xml:space="preserve">5) Система оборонительных сооружений на юге России, состоящая из лесных засеков, валов, рвов, крепостей, для защиты от набегов крымских татар.</w:t>
            </w:r>
          </w:p>
          <w:p>
            <w:r>
              <w:rPr>
                <w:rFonts w:ascii="Times New Roman" w:hAnsi="Times New Roman"/>
              </w:rPr>
              <w:t xml:space="preserve">На рабочем листе рядом с заданием пометка от руки: «любые два».</w:t>
            </w:r>
          </w:p>
        </w:tc>
        <w:tc>
          <w:tcPr>
            <w:tcW w:type="dxa" w:w="1570"/>
          </w:tcPr>
          <w:p>
            <w:r>
              <w:rPr>
                <w:rFonts w:ascii="Times New Roman" w:hAnsi="Times New Roman"/>
              </w:rPr>
              <w:t xml:space="preserve">Знание фактов истории</w:t>
            </w:r>
          </w:p>
        </w:tc>
        <w:tc>
          <w:tcPr>
            <w:tcW w:type="dxa" w:w="439"/>
          </w:tcPr>
          <w:p>
            <w:r>
              <w:rPr>
                <w:rFonts w:ascii="Times New Roman" w:hAnsi="Times New Roman"/>
              </w:rPr>
              <w:t xml:space="preserve">П</w:t>
            </w:r>
          </w:p>
        </w:tc>
        <w:tc>
          <w:tcPr>
            <w:tcW w:type="dxa" w:w="889"/>
          </w:tcPr>
          <w:p>
            <w:r>
              <w:rPr>
                <w:rFonts w:ascii="Times New Roman" w:hAnsi="Times New Roman"/>
              </w:rPr>
              <w:t xml:space="preserve">Нет ответа</w:t>
            </w:r>
          </w:p>
        </w:tc>
        <w:tc>
          <w:tcPr>
            <w:tcW w:type="dxa" w:w="1088"/>
          </w:tcPr>
          <w:p>
            <w:r>
              <w:rPr>
                <w:rFonts w:ascii="Times New Roman" w:hAnsi="Times New Roman"/>
              </w:rPr>
              <w:t>0 / 2</w:t>
            </w:r>
          </w:p>
        </w:tc>
      </w:tr>
    </w:tbl>
    <w:p>
      <w:pPr>
        <w:pStyle w:val="Heading3"/>
      </w:pPr>
      <w:r>
        <w:t>Критерии оценки по спецификации Кульковой</w:t>
      </w:r>
    </w:p>
    <w:p>
      <w:pPr>
        <w:spacing w:after="400"/>
      </w:pPr>
      <w:r>
        <w:rPr>
          <w:rFonts w:ascii="Times New Roman" w:hAnsi="Times New Roman" w:eastAsia="Times New Roman" w:cs="Times New Roman"/>
          <w:b w:val="0"/>
          <w:bCs/>
          <w:sz w:val="22"/>
          <w:szCs w:val="22"/>
        </w:rPr>
        <w:t>1. Типы вопросов и баллы по ним</w:t>
      </w:r>
    </w:p>
    <w:tbl>
      <w:tblPr>
        <w:tblStyle w:val="TableGrid"/>
        <w:tblW w:type="dxa" w:w="8640"/>
        <w:tblLook w:firstColumn="1" w:firstRow="1" w:lastColumn="0" w:lastRow="0" w:noHBand="0" w:noVBand="1" w:val="04A0"/>
        <w:tblLayout w:type="fixed"/>
      </w:tblPr>
      <w:tblGrid>
        <w:gridCol w:w="400"/>
        <w:gridCol w:w="2350"/>
        <w:gridCol w:w="1980"/>
        <w:gridCol w:w="2050"/>
        <w:gridCol w:w="600"/>
        <w:gridCol w:w="1260"/>
      </w:tblGrid>
      <w:tr>
        <w:tc>
          <w:tcPr>
            <w:tcW w:w="400" w:type="dxa"/>
          </w:tcPr>
          <w:p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350" w:type="dxa"/>
          </w:tcPr>
          <w:p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Проверяемые элементы подготовки</w:t>
            </w:r>
          </w:p>
        </w:tc>
        <w:tc>
          <w:tcPr>
            <w:tcW w:w="1980" w:type="dxa"/>
          </w:tcPr>
          <w:p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Адаптивная формулировка</w:t>
            </w:r>
          </w:p>
        </w:tc>
        <w:tc>
          <w:tcPr>
            <w:tcW w:w="2050" w:type="dxa"/>
          </w:tcPr>
          <w:p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Пример</w:t>
            </w:r>
          </w:p>
        </w:tc>
        <w:tc>
          <w:tcPr>
            <w:tcW w:w="600" w:type="dxa"/>
          </w:tcPr>
          <w:p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Уровень сложности</w:t>
            </w:r>
          </w:p>
        </w:tc>
        <w:tc>
          <w:tcPr>
            <w:tcW w:w="1260" w:type="dxa"/>
          </w:tcPr>
          <w:p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Максимальный балл за задание</w:t>
            </w:r>
          </w:p>
        </w:tc>
      </w:tr>
      <w:tr>
        <w:tc>
          <w:tcPr>
            <w:tcW w:w="4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3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Знание фактов</w:t>
            </w:r>
          </w:p>
        </w:tc>
        <w:tc>
          <w:tcPr>
            <w:tcW w:w="198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Знание фактов</w:t>
            </w:r>
          </w:p>
        </w:tc>
        <w:tc>
          <w:tcPr>
            <w:tcW w:w="20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(№ 1) В каком году Иван IV венчался на царство?</w:t>
            </w:r>
          </w:p>
        </w:tc>
        <w:tc>
          <w:tcPr>
            <w:tcW w:w="6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Б</w:t>
            </w:r>
          </w:p>
        </w:tc>
        <w:tc>
          <w:tcPr>
            <w:tcW w:w="126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</w:tr>
      <w:tr>
        <w:tc>
          <w:tcPr>
            <w:tcW w:w="4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3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Поиск информации в источнике</w:t>
            </w:r>
          </w:p>
        </w:tc>
        <w:tc>
          <w:tcPr>
            <w:tcW w:w="198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Поиск информации в источнике</w:t>
            </w:r>
          </w:p>
        </w:tc>
        <w:tc>
          <w:tcPr>
            <w:tcW w:w="20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(№ 25) Прочитайте отрывок из документа и ответьте на вопросы</w:t>
            </w:r>
          </w:p>
        </w:tc>
        <w:tc>
          <w:tcPr>
            <w:tcW w:w="6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Б</w:t>
            </w:r>
          </w:p>
        </w:tc>
        <w:tc>
          <w:tcPr>
            <w:tcW w:w="126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</w:tr>
      <w:tr>
        <w:tc>
          <w:tcPr>
            <w:tcW w:w="4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23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Знание причин и следствий</w:t>
            </w:r>
          </w:p>
        </w:tc>
        <w:tc>
          <w:tcPr>
            <w:tcW w:w="198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Знание причин и следствий</w:t>
            </w:r>
          </w:p>
        </w:tc>
        <w:tc>
          <w:tcPr>
            <w:tcW w:w="20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(№ 5) Что было одной из причин принятия Иваном IV опричнины?</w:t>
            </w:r>
          </w:p>
        </w:tc>
        <w:tc>
          <w:tcPr>
            <w:tcW w:w="6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Б</w:t>
            </w:r>
          </w:p>
        </w:tc>
        <w:tc>
          <w:tcPr>
            <w:tcW w:w="126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</w:tr>
      <w:tr>
        <w:tc>
          <w:tcPr>
            <w:tcW w:w="4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23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Знание фактов истории культуры</w:t>
            </w:r>
          </w:p>
        </w:tc>
        <w:tc>
          <w:tcPr>
            <w:tcW w:w="198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Знание фактов истории церкви и культуры</w:t>
            </w:r>
          </w:p>
        </w:tc>
        <w:tc>
          <w:tcPr>
            <w:tcW w:w="20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(№ 15) Укажите имя противника церковной реформы, главу старообрядцев</w:t>
            </w:r>
          </w:p>
        </w:tc>
        <w:tc>
          <w:tcPr>
            <w:tcW w:w="6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Б</w:t>
            </w:r>
          </w:p>
        </w:tc>
        <w:tc>
          <w:tcPr>
            <w:tcW w:w="126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</w:tr>
      <w:tr>
        <w:tc>
          <w:tcPr>
            <w:tcW w:w="4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23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Установление последовательности событий, явлений, процессов</w:t>
            </w:r>
          </w:p>
        </w:tc>
        <w:tc>
          <w:tcPr>
            <w:tcW w:w="198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Установление последовательности событий, явлений, процессов</w:t>
            </w:r>
          </w:p>
        </w:tc>
        <w:tc>
          <w:tcPr>
            <w:tcW w:w="20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(№ 23) Расположите в хронологической последовательности следующие события</w:t>
            </w:r>
          </w:p>
        </w:tc>
        <w:tc>
          <w:tcPr>
            <w:tcW w:w="6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П</w:t>
            </w:r>
          </w:p>
        </w:tc>
        <w:tc>
          <w:tcPr>
            <w:tcW w:w="126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</w:tr>
      <w:tr>
        <w:tc>
          <w:tcPr>
            <w:tcW w:w="4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23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Систематизация фактов, понятий (множественный выбор)</w:t>
            </w:r>
          </w:p>
        </w:tc>
        <w:tc>
          <w:tcPr>
            <w:tcW w:w="198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Систематизация фактов, понятий (множественный выбор)</w:t>
            </w:r>
          </w:p>
        </w:tc>
        <w:tc>
          <w:tcPr>
            <w:tcW w:w="20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(№ 10) Каковы последствия Великих географических открытий? Укажите два верных ответа из пяти предложенных</w:t>
            </w:r>
          </w:p>
        </w:tc>
        <w:tc>
          <w:tcPr>
            <w:tcW w:w="6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П</w:t>
            </w:r>
          </w:p>
        </w:tc>
        <w:tc>
          <w:tcPr>
            <w:tcW w:w="126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</w:tr>
      <w:tr>
        <w:tc>
          <w:tcPr>
            <w:tcW w:w="4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23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Работа с иллюстрациями</w:t>
            </w:r>
          </w:p>
        </w:tc>
        <w:tc>
          <w:tcPr>
            <w:tcW w:w="198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—</w:t>
            </w:r>
          </w:p>
        </w:tc>
        <w:tc>
          <w:tcPr>
            <w:tcW w:w="20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—</w:t>
            </w:r>
          </w:p>
        </w:tc>
        <w:tc>
          <w:tcPr>
            <w:tcW w:w="6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П</w:t>
            </w:r>
          </w:p>
        </w:tc>
        <w:tc>
          <w:tcPr>
            <w:tcW w:w="126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</w:tr>
      <w:tr>
        <w:tc>
          <w:tcPr>
            <w:tcW w:w="4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23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Систематизация исторической информации (восстановление последовательности предложений в тексте)</w:t>
            </w:r>
          </w:p>
        </w:tc>
        <w:tc>
          <w:tcPr>
            <w:tcW w:w="198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Систематизация исторической информации</w:t>
            </w:r>
          </w:p>
        </w:tc>
        <w:tc>
          <w:tcPr>
            <w:tcW w:w="20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(№ 21) Установите соответствие между событиями и датами</w:t>
            </w:r>
          </w:p>
        </w:tc>
        <w:tc>
          <w:tcPr>
            <w:tcW w:w="6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П</w:t>
            </w:r>
          </w:p>
        </w:tc>
        <w:tc>
          <w:tcPr>
            <w:tcW w:w="126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</w:tr>
      <w:tr>
        <w:tc>
          <w:tcPr>
            <w:tcW w:w="4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9</w:t>
            </w:r>
          </w:p>
        </w:tc>
        <w:tc>
          <w:tcPr>
            <w:tcW w:w="23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Систематизация исторической информации по истории культуры (работа с текстовым и иллюстративным материалом)</w:t>
            </w:r>
          </w:p>
        </w:tc>
        <w:tc>
          <w:tcPr>
            <w:tcW w:w="198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Систематизация исторической информации по истории культуры (деятели культуры)</w:t>
            </w:r>
          </w:p>
        </w:tc>
        <w:tc>
          <w:tcPr>
            <w:tcW w:w="20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(№ 7) Найдите соответствие: 1. Христофор Колумб; 2. Мартин Лютер… (пять пар)</w:t>
            </w:r>
          </w:p>
        </w:tc>
        <w:tc>
          <w:tcPr>
            <w:tcW w:w="6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П</w:t>
            </w:r>
          </w:p>
        </w:tc>
        <w:tc>
          <w:tcPr>
            <w:tcW w:w="126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</w:tr>
      <w:tr>
        <w:tc>
          <w:tcPr>
            <w:tcW w:w="4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10</w:t>
            </w:r>
          </w:p>
        </w:tc>
        <w:tc>
          <w:tcPr>
            <w:tcW w:w="23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Составление исторического текста на основе опорных слов</w:t>
            </w:r>
          </w:p>
        </w:tc>
        <w:tc>
          <w:tcPr>
            <w:tcW w:w="198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—</w:t>
            </w:r>
          </w:p>
        </w:tc>
        <w:tc>
          <w:tcPr>
            <w:tcW w:w="205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—</w:t>
            </w:r>
          </w:p>
        </w:tc>
        <w:tc>
          <w:tcPr>
            <w:tcW w:w="60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В</w:t>
            </w:r>
          </w:p>
        </w:tc>
        <w:tc>
          <w:tcPr>
            <w:tcW w:w="1260" w:type="dxa"/>
          </w:tcPr>
          <w:p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7</w:t>
            </w:r>
          </w:p>
        </w:tc>
      </w:tr>
    </w:tbl>
    <w:p>
      <w:pPr>
        <w:pStyle w:val="Normal"/>
      </w:pPr>
      <w:r>
        <w:t>* Во множественных заданиях одна ошибка -1 балл, две ошибки = 0 баллов.</w:t>
      </w:r>
    </w:p>
    <w:p>
      <w:pPr>
        <w:pStyle w:val="Normal"/>
      </w:pPr>
      <w:r>
        <w:t>Итоговая оценка определяется на основе процентного соотношения набранных баллов, при этом полученная процентная составляющая округляется до ближайшего целого числа по правилам математического округления.</w:t>
      </w:r>
    </w:p>
    <w:p>
      <w:pPr>
        <w:spacing w:after="400"/>
      </w:pPr>
      <w:r>
        <w:rPr>
          <w:rFonts w:ascii="Times New Roman" w:hAnsi="Times New Roman" w:eastAsia="Times New Roman" w:cs="Times New Roman"/>
          <w:b w:val="0"/>
          <w:bCs/>
          <w:sz w:val="22"/>
          <w:szCs w:val="22"/>
        </w:rPr>
        <w:t>2. Перевод первичных баллов в отметку</w:t>
      </w:r>
    </w:p>
    <w:tbl>
      <w:tblPr>
        <w:tblStyle w:val="TableGrid"/>
        <w:tblW w:type="dxa" w:w="8640"/>
        <w:tblLook w:firstColumn="1" w:firstRow="1" w:lastColumn="0" w:lastRow="0" w:noHBand="0" w:noVBand="1" w:val="04A0"/>
        <w:tblLayout w:type="fixed"/>
      </w:tblPr>
      <w:tblGrid>
        <w:gridCol w:w="1173"/>
        <w:gridCol w:w="1867"/>
        <w:gridCol w:w="1867"/>
        <w:gridCol w:w="1867"/>
        <w:gridCol w:w="1866"/>
      </w:tblGrid>
      <w:tr>
        <w:tc>
          <w:tcPr>
            <w:tcW w:type="dxa" w:w="117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Отметка</w:t>
            </w:r>
          </w:p>
        </w:tc>
        <w:tc>
          <w:tcPr>
            <w:tcW w:type="dxa" w:w="186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«2»</w:t>
            </w:r>
          </w:p>
        </w:tc>
        <w:tc>
          <w:tcPr>
            <w:tcW w:type="dxa" w:w="186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«3»</w:t>
            </w:r>
          </w:p>
        </w:tc>
        <w:tc>
          <w:tcPr>
            <w:tcW w:type="dxa" w:w="186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«4»</w:t>
            </w:r>
          </w:p>
        </w:tc>
        <w:tc>
          <w:tcPr>
            <w:tcW w:type="dxa" w:w="1866"/>
          </w:tcPr>
          <w:p>
            <w:r/>
            <w:r>
              <w:rPr>
                <w:rFonts w:ascii="Times New Roman" w:hAnsi="Times New Roman"/>
                <w:b/>
                <w:sz w:val="18"/>
              </w:rPr>
              <w:t>«5»</w:t>
            </w:r>
          </w:p>
        </w:tc>
      </w:tr>
      <w:tr>
        <w:tc>
          <w:tcPr>
            <w:tcW w:type="dxa" w:w="1173"/>
          </w:tcPr>
          <w:p>
            <w:r>
              <w:rPr>
                <w:rFonts w:ascii="Times New Roman" w:hAnsi="Times New Roman"/>
                <w:b w:val="0"/>
                <w:sz w:val="18"/>
              </w:rPr>
              <w:t xml:space="preserve">Баллы</w:t>
            </w:r>
          </w:p>
        </w:tc>
        <w:tc>
          <w:tcPr>
            <w:tcW w:type="dxa" w:w="1867"/>
          </w:tcPr>
          <w:p>
            <w:r>
              <w:rPr>
                <w:rFonts w:ascii="Times New Roman" w:hAnsi="Times New Roman"/>
                <w:b w:val="0"/>
                <w:sz w:val="18"/>
              </w:rPr>
              <w:t>0–6</w:t>
            </w:r>
          </w:p>
        </w:tc>
        <w:tc>
          <w:tcPr>
            <w:tcW w:type="dxa" w:w="1867"/>
          </w:tcPr>
          <w:p>
            <w:r>
              <w:rPr>
                <w:rFonts w:ascii="Times New Roman" w:hAnsi="Times New Roman"/>
                <w:b w:val="0"/>
                <w:sz w:val="18"/>
              </w:rPr>
              <w:t>7–13</w:t>
            </w:r>
          </w:p>
        </w:tc>
        <w:tc>
          <w:tcPr>
            <w:tcW w:type="dxa" w:w="1867"/>
          </w:tcPr>
          <w:p>
            <w:r>
              <w:rPr>
                <w:rFonts w:ascii="Times New Roman" w:hAnsi="Times New Roman"/>
                <w:b w:val="0"/>
                <w:sz w:val="18"/>
              </w:rPr>
              <w:t>14–20</w:t>
            </w:r>
          </w:p>
        </w:tc>
        <w:tc>
          <w:tcPr>
            <w:tcW w:type="dxa" w:w="1866"/>
          </w:tcPr>
          <w:p>
            <w:r>
              <w:rPr>
                <w:rFonts w:ascii="Times New Roman" w:hAnsi="Times New Roman"/>
                <w:b w:val="0"/>
                <w:sz w:val="18"/>
              </w:rPr>
              <w:t>21–27</w:t>
            </w:r>
          </w:p>
        </w:tc>
      </w:tr>
      <w:tr>
        <w:tc>
          <w:tcPr>
            <w:tcW w:type="dxa" w:w="1173"/>
          </w:tcPr>
          <w:p>
            <w:r>
              <w:rPr>
                <w:rFonts w:ascii="Times New Roman" w:hAnsi="Times New Roman"/>
                <w:b w:val="0"/>
                <w:sz w:val="18"/>
              </w:rPr>
              <w:t xml:space="preserve">Проценты</w:t>
            </w:r>
          </w:p>
        </w:tc>
        <w:tc>
          <w:tcPr>
            <w:tcW w:type="dxa" w:w="1867"/>
          </w:tcPr>
          <w:p>
            <w:r>
              <w:rPr>
                <w:rFonts w:ascii="Times New Roman" w:hAnsi="Times New Roman"/>
                <w:b w:val="0"/>
                <w:sz w:val="18"/>
              </w:rPr>
              <w:t>0–22 %</w:t>
            </w:r>
          </w:p>
        </w:tc>
        <w:tc>
          <w:tcPr>
            <w:tcW w:type="dxa" w:w="1867"/>
          </w:tcPr>
          <w:p>
            <w:r>
              <w:rPr>
                <w:rFonts w:ascii="Times New Roman" w:hAnsi="Times New Roman"/>
                <w:b w:val="0"/>
                <w:sz w:val="18"/>
              </w:rPr>
              <w:t>26–48 %</w:t>
            </w:r>
          </w:p>
        </w:tc>
        <w:tc>
          <w:tcPr>
            <w:tcW w:type="dxa" w:w="1867"/>
          </w:tcPr>
          <w:p>
            <w:r>
              <w:rPr>
                <w:rFonts w:ascii="Times New Roman" w:hAnsi="Times New Roman"/>
                <w:b w:val="0"/>
                <w:sz w:val="18"/>
              </w:rPr>
              <w:t>52–74 %</w:t>
            </w:r>
          </w:p>
        </w:tc>
        <w:tc>
          <w:tcPr>
            <w:tcW w:type="dxa" w:w="1866"/>
          </w:tcPr>
          <w:p>
            <w:r>
              <w:rPr>
                <w:rFonts w:ascii="Times New Roman" w:hAnsi="Times New Roman"/>
                <w:b w:val="0"/>
                <w:sz w:val="18"/>
              </w:rPr>
              <w:t>78–100 %</w:t>
            </w:r>
          </w:p>
        </w:tc>
      </w:tr>
    </w:tbl>
    <w:p>
      <w:pPr>
        <w:pStyle w:val="Normal"/>
      </w:pPr>
      <w:r>
        <w:t>** За основу взята спецификация Е. В. Кульковой. Сохранены авторский темп выполнения работы, максимальный первичный балл и пропорциональное распределение заданий по уровням сложности (базовый, повышенный, высокий — БПВ). На основе шкалы соответствия из данной спецификации каждое предоставленное задание было детально идентифицировано и отнесено к соответствующему уровню сложности.</w:t>
      </w:r>
    </w:p>
    <w:p>
      <w:pPr>
        <w:pStyle w:val="Normal"/>
        <w:spacing w:after="0" w:before="0"/>
      </w:pPr>
      <w:r>
        <w:t>В работу в первую очередь заносились задания, выполненные обучающейся полностью верно, затем — задания, выполненные частично.</w:t>
      </w:r>
    </w:p>
    <w:p>
      <w:pPr>
        <w:pStyle w:val="Normal"/>
        <w:spacing w:after="0" w:before="0"/>
      </w:pPr>
      <w:r>
        <w:t>Прочие задания отбирались с сохранением пропорции по уровням сложности.</w:t>
      </w:r>
    </w:p>
    <w:p>
      <w:pPr>
        <w:pStyle w:val="Normal"/>
        <w:spacing w:after="0" w:before="0"/>
      </w:pPr>
      <w:r>
        <w:t>Ввиду отсутствия в предоставленном материале заданий высокого уровня - сложность компенсировалась добором баллов из смежных категорий.</w:t>
      </w:r>
    </w:p>
    <w:p>
      <w:pPr>
        <w:pStyle w:val="Normal"/>
      </w:pPr>
      <w:r>
        <w:t>А также была проведена балльная коррекция: базовые задания оценивались в 1 балл, а задания повышенного уровня (П) — в 2 балла. Это позволило сохранить пропорции шкалы при отсутствии высшей категории.</w:t>
      </w:r>
    </w:p>
    <w:p>
      <w:pPr>
        <w:pStyle w:val="Normal"/>
      </w:pPr>
      <w:r>
        <w:t>Задания, к которым ребенок не приступил из-за дефицита времени (нехватки отведенных 35 минут), добавлялись в сборку в последнюю очередь.</w:t>
      </w:r>
    </w:p>
    <w:tbl>
      <w:tblPr>
        <w:tblStyle w:val="TableGrid"/>
        <w:tblW w:type="dxa" w:w="8640"/>
        <w:tblLook w:firstColumn="1" w:firstRow="1" w:lastColumn="0" w:lastRow="0" w:noHBand="0" w:noVBand="1" w:val="04A0"/>
        <w:tblLayout w:type="fixed"/>
      </w:tblPr>
      <w:tblGrid>
        <w:gridCol w:w="1598"/>
        <w:gridCol w:w="916"/>
        <w:gridCol w:w="1061"/>
        <w:gridCol w:w="1013"/>
        <w:gridCol w:w="1013"/>
        <w:gridCol w:w="772"/>
        <w:gridCol w:w="1158"/>
        <w:gridCol w:w="1109"/>
      </w:tblGrid>
      <w:tr>
        <w:tc>
          <w:tcPr>
            <w:tcW w:type="dxa" w:w="1598"/>
          </w:tcPr>
          <w:p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Работа</w:t>
            </w:r>
          </w:p>
        </w:tc>
        <w:tc>
          <w:tcPr>
            <w:tcW w:type="dxa" w:w="916"/>
          </w:tcPr>
          <w:p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Всего заданий</w:t>
            </w:r>
          </w:p>
        </w:tc>
        <w:tc>
          <w:tcPr>
            <w:tcW w:type="dxa" w:w="1061"/>
          </w:tcPr>
          <w:p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Макс балл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Задание Б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Задание П</w:t>
            </w:r>
          </w:p>
        </w:tc>
        <w:tc>
          <w:tcPr>
            <w:tcW w:type="dxa" w:w="772"/>
          </w:tcPr>
          <w:p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Задание В</w:t>
            </w:r>
          </w:p>
        </w:tc>
        <w:tc>
          <w:tcPr>
            <w:tcW w:type="dxa" w:w="1158"/>
          </w:tcPr>
          <w:p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Длительность работы</w:t>
            </w:r>
          </w:p>
        </w:tc>
        <w:tc>
          <w:tcPr>
            <w:tcW w:type="dxa" w:w="1109"/>
          </w:tcPr>
          <w:p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Темп, мин на задание</w:t>
            </w:r>
          </w:p>
        </w:tc>
      </w:tr>
      <w:tr>
        <w:tc>
          <w:tcPr>
            <w:tcW w:type="dxa" w:w="1598"/>
          </w:tcPr>
          <w:p>
            <w:r>
              <w:rPr>
                <w:rFonts w:ascii="Times New Roman" w:hAnsi="Times New Roman"/>
                <w:sz w:val="20"/>
                <w:szCs w:val="20"/>
              </w:rPr>
              <w:t>Спецификация Кульковой, шт</w:t>
            </w:r>
          </w:p>
        </w:tc>
        <w:tc>
          <w:tcPr>
            <w:tcW w:type="dxa" w:w="916"/>
          </w:tcPr>
          <w:p>
            <w:r>
              <w:rPr>
                <w:rFonts w:ascii="Times New Roman" w:hAnsi="Times New Roman"/>
                <w:sz w:val="20"/>
                <w:szCs w:val="20"/>
              </w:rPr>
              <w:t>19</w:t>
            </w:r>
          </w:p>
        </w:tc>
        <w:tc>
          <w:tcPr>
            <w:tcW w:type="dxa" w:w="1061"/>
          </w:tcPr>
          <w:p>
            <w:r>
              <w:rPr>
                <w:rFonts w:ascii="Times New Roman" w:hAnsi="Times New Roman"/>
                <w:sz w:val="20"/>
                <w:szCs w:val="20"/>
              </w:rPr>
              <w:t>27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type="dxa" w:w="772"/>
          </w:tcPr>
          <w:p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type="dxa" w:w="1158"/>
          </w:tcPr>
          <w:p>
            <w:r>
              <w:rPr>
                <w:rFonts w:ascii="Times New Roman" w:hAnsi="Times New Roman"/>
                <w:sz w:val="20"/>
                <w:szCs w:val="20"/>
              </w:rPr>
              <w:t>до 55 минут</w:t>
            </w:r>
          </w:p>
        </w:tc>
        <w:tc>
          <w:tcPr>
            <w:tcW w:type="dxa" w:w="1109"/>
          </w:tcPr>
          <w:p>
            <w:r>
              <w:rPr>
                <w:rFonts w:ascii="Times New Roman" w:hAnsi="Times New Roman"/>
                <w:sz w:val="20"/>
                <w:szCs w:val="20"/>
              </w:rPr>
              <w:t>2,89</w:t>
            </w:r>
          </w:p>
        </w:tc>
      </w:tr>
      <w:tr>
        <w:tc>
          <w:tcPr>
            <w:tcW w:type="dxa" w:w="1598"/>
          </w:tcPr>
          <w:p>
            <w:r>
              <w:rPr>
                <w:rFonts w:ascii="Times New Roman" w:hAnsi="Times New Roman"/>
                <w:sz w:val="20"/>
                <w:szCs w:val="20"/>
              </w:rPr>
              <w:t>Адаптивная сборка, шт</w:t>
            </w:r>
          </w:p>
        </w:tc>
        <w:tc>
          <w:tcPr>
            <w:tcW w:type="dxa" w:w="916"/>
          </w:tcPr>
          <w:p>
            <w:r>
              <w:rPr>
                <w:rFonts w:ascii="Times New Roman" w:hAnsi="Times New Roman"/>
                <w:sz w:val="20"/>
                <w:szCs w:val="20"/>
              </w:rPr>
              <w:t>19</w:t>
            </w:r>
          </w:p>
        </w:tc>
        <w:tc>
          <w:tcPr>
            <w:tcW w:type="dxa" w:w="1061"/>
          </w:tcPr>
          <w:p>
            <w:r>
              <w:rPr>
                <w:rFonts w:ascii="Times New Roman" w:hAnsi="Times New Roman"/>
                <w:sz w:val="20"/>
                <w:szCs w:val="20"/>
              </w:rPr>
              <w:t>27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type="dxa" w:w="772"/>
          </w:tcPr>
          <w:p>
            <w:r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1158"/>
          </w:tcPr>
          <w:p>
            <w:r>
              <w:rPr>
                <w:rFonts w:ascii="Times New Roman" w:hAnsi="Times New Roman"/>
                <w:sz w:val="20"/>
                <w:szCs w:val="20"/>
              </w:rPr>
              <w:t>35 минут</w:t>
            </w:r>
          </w:p>
        </w:tc>
        <w:tc>
          <w:tcPr>
            <w:tcW w:type="dxa" w:w="1109"/>
          </w:tcPr>
          <w:p>
            <w:r>
              <w:rPr>
                <w:rFonts w:ascii="Times New Roman" w:hAnsi="Times New Roman"/>
                <w:sz w:val="20"/>
                <w:szCs w:val="20"/>
              </w:rPr>
              <w:t>1,84</w:t>
            </w:r>
          </w:p>
        </w:tc>
      </w:tr>
    </w:tbl>
    <w:p>
      <w:pPr>
        <w:spacing w:after="0" w:before="0" w:line="320" w:lineRule="exact"/>
        <w:rPr>
          <w:sz w:val="24"/>
        </w:r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40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0" w:after="40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